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32E30DB" w14:textId="77777777" w:rsidTr="003200A7">
        <w:trPr>
          <w:trHeight w:val="218"/>
        </w:trPr>
        <w:tc>
          <w:tcPr>
            <w:tcW w:w="6345" w:type="dxa"/>
          </w:tcPr>
          <w:p w14:paraId="49A4618B" w14:textId="77777777"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14:paraId="423EDE00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0D76AF0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EE92A6" wp14:editId="627CB4C8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14:paraId="7534E55B" w14:textId="77777777" w:rsidTr="003200A7">
        <w:trPr>
          <w:trHeight w:val="279"/>
        </w:trPr>
        <w:tc>
          <w:tcPr>
            <w:tcW w:w="6345" w:type="dxa"/>
          </w:tcPr>
          <w:p w14:paraId="7E15402F" w14:textId="391D2672" w:rsidR="00136F8E" w:rsidRPr="008E0AF8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РЕПУБЛИК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СРБИЈ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  <w:bookmarkStart w:id="0" w:name="_GoBack"/>
            <w:bookmarkEnd w:id="0"/>
          </w:p>
          <w:p w14:paraId="104C55B2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14:paraId="5B8042A3" w14:textId="77777777"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62895129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8FB8BF4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14:paraId="759C87B8" w14:textId="77777777" w:rsidTr="003200A7">
        <w:trPr>
          <w:trHeight w:val="56"/>
        </w:trPr>
        <w:tc>
          <w:tcPr>
            <w:tcW w:w="6345" w:type="dxa"/>
          </w:tcPr>
          <w:p w14:paraId="5563ED89" w14:textId="77777777"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10F8DB7" w14:textId="77777777"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BC604D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C7340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2CF85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80144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960AE1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2C50F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A53D1" w14:textId="77777777"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CDE5517" w14:textId="77777777"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87316DE" w14:textId="77777777"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32410F60" w14:textId="77777777"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04F7AFB8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909E8F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FA22C" w14:textId="2B4D2A7A" w:rsidR="00CB6720" w:rsidRPr="005E7AAC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  <w:r w:rsidR="005E7AA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E7AAC">
        <w:rPr>
          <w:rFonts w:ascii="Times New Roman" w:hAnsi="Times New Roman"/>
          <w:b/>
          <w:sz w:val="24"/>
          <w:szCs w:val="24"/>
          <w:lang w:val="sr-Cyrl-CS"/>
        </w:rPr>
        <w:t>РАДОВА</w:t>
      </w:r>
    </w:p>
    <w:p w14:paraId="509D6419" w14:textId="14ECBB3D" w:rsidR="00CB6720" w:rsidRPr="002A7761" w:rsidRDefault="00D57398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7761">
        <w:rPr>
          <w:rFonts w:ascii="Times New Roman" w:hAnsi="Times New Roman"/>
          <w:b/>
          <w:sz w:val="24"/>
          <w:szCs w:val="24"/>
          <w:lang w:val="sr-Latn-CS"/>
        </w:rPr>
        <w:t>E</w:t>
      </w:r>
      <w:r w:rsidRPr="002A7761">
        <w:rPr>
          <w:rFonts w:ascii="Times New Roman" w:hAnsi="Times New Roman"/>
          <w:b/>
          <w:sz w:val="24"/>
          <w:szCs w:val="24"/>
          <w:lang w:val="sr-Cyrl-CS"/>
        </w:rPr>
        <w:t>ЛЕКТРОНСКИ ФАКУЛТЕТ (УНИВЕРЗИТЕТ У НИШУ)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 xml:space="preserve">, ИЗВОЂЕЊЕ РАДОВА НА ИЗГРАДЊИ </w:t>
      </w:r>
      <w:r w:rsidR="002A7761" w:rsidRPr="002A7761">
        <w:rPr>
          <w:rFonts w:ascii="Times New Roman" w:hAnsi="Times New Roman"/>
          <w:b/>
          <w:sz w:val="24"/>
          <w:szCs w:val="24"/>
          <w:lang w:val="sr-Cyrl-CS"/>
        </w:rPr>
        <w:t>ВИШЕНАМЕНСКЕ ЛАМЕЛЕ</w:t>
      </w:r>
    </w:p>
    <w:p w14:paraId="4116056C" w14:textId="31DEF69E" w:rsidR="00CB6720" w:rsidRPr="00941EBD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761">
        <w:rPr>
          <w:rFonts w:ascii="Times New Roman" w:hAnsi="Times New Roman"/>
          <w:b/>
          <w:sz w:val="24"/>
          <w:szCs w:val="24"/>
        </w:rPr>
        <w:t xml:space="preserve"> БР. 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2A7761">
        <w:rPr>
          <w:rFonts w:ascii="Times New Roman" w:hAnsi="Times New Roman"/>
          <w:b/>
          <w:sz w:val="24"/>
          <w:szCs w:val="24"/>
        </w:rPr>
        <w:t>ОП/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D57398" w:rsidRPr="002A7761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2A7761">
        <w:rPr>
          <w:rFonts w:ascii="Times New Roman" w:hAnsi="Times New Roman"/>
          <w:b/>
          <w:sz w:val="24"/>
          <w:szCs w:val="24"/>
        </w:rPr>
        <w:t>-201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2A7761">
        <w:rPr>
          <w:rFonts w:ascii="Times New Roman" w:hAnsi="Times New Roman"/>
          <w:b/>
          <w:sz w:val="24"/>
          <w:szCs w:val="24"/>
        </w:rPr>
        <w:t>/РД</w:t>
      </w:r>
    </w:p>
    <w:p w14:paraId="04DAE11F" w14:textId="77777777"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49B1AE84" w14:textId="76AAF4E5" w:rsidR="002F4477" w:rsidRDefault="002F4477" w:rsidP="00684C2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E90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Србија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је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уговор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B5E90">
        <w:rPr>
          <w:rFonts w:ascii="Times New Roman" w:hAnsi="Times New Roman"/>
          <w:sz w:val="24"/>
          <w:szCs w:val="24"/>
        </w:rPr>
        <w:t>кредиту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банком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B5E9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E90">
        <w:rPr>
          <w:rFonts w:ascii="Times New Roman" w:hAnsi="Times New Roman"/>
          <w:sz w:val="24"/>
          <w:szCs w:val="24"/>
        </w:rPr>
        <w:t>развој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B5E90">
        <w:rPr>
          <w:rFonts w:ascii="Times New Roman" w:hAnsi="Times New Roman"/>
          <w:sz w:val="24"/>
          <w:szCs w:val="24"/>
        </w:rPr>
        <w:t>јавном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5E90">
        <w:rPr>
          <w:rFonts w:ascii="Times New Roman" w:hAnsi="Times New Roman"/>
          <w:sz w:val="24"/>
          <w:szCs w:val="24"/>
        </w:rPr>
        <w:t>сектору</w:t>
      </w:r>
      <w:proofErr w:type="spellEnd"/>
      <w:r w:rsidRPr="002B5E90">
        <w:rPr>
          <w:rFonts w:ascii="Times New Roman" w:hAnsi="Times New Roman"/>
          <w:sz w:val="24"/>
          <w:szCs w:val="24"/>
        </w:rPr>
        <w:t>“</w:t>
      </w:r>
      <w:proofErr w:type="gramEnd"/>
      <w:r w:rsidR="00A90436">
        <w:rPr>
          <w:rFonts w:ascii="Times New Roman" w:hAnsi="Times New Roman"/>
          <w:sz w:val="24"/>
          <w:szCs w:val="24"/>
          <w:lang w:val="sr-Cyrl-CS"/>
        </w:rPr>
        <w:t>. Канцеларија за управљање јавним улагањима</w:t>
      </w:r>
      <w:r w:rsidR="00EA6722"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8C03CB">
        <w:rPr>
          <w:rFonts w:ascii="Times New Roman" w:hAnsi="Times New Roman"/>
          <w:sz w:val="24"/>
          <w:szCs w:val="24"/>
          <w:lang w:val="sr-Cyrl-CS"/>
        </w:rPr>
        <w:t xml:space="preserve">имплементациони партнер на Пројекту, </w:t>
      </w:r>
      <w:proofErr w:type="spellStart"/>
      <w:r w:rsidRPr="002B5E90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да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део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из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овог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кредита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по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уговору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: </w:t>
      </w:r>
      <w:r w:rsidR="005E6FD1" w:rsidRPr="002B5E90">
        <w:rPr>
          <w:rFonts w:ascii="Times New Roman" w:hAnsi="Times New Roman"/>
          <w:bCs/>
          <w:sz w:val="24"/>
          <w:szCs w:val="24"/>
          <w:lang w:val="sr-Latn-RS"/>
        </w:rPr>
        <w:t>Проширење Електронског факултета Универзитета у Нишу</w:t>
      </w:r>
      <w:r w:rsidR="00831868" w:rsidRPr="002B5E90">
        <w:rPr>
          <w:rFonts w:ascii="Times New Roman" w:hAnsi="Times New Roman"/>
          <w:sz w:val="24"/>
          <w:szCs w:val="24"/>
          <w:lang w:val="sr-Cyrl-CS"/>
        </w:rPr>
        <w:t>, у складу са Водичем за набавку Европске инвестиционе банке</w:t>
      </w:r>
      <w:r w:rsidRPr="002B5E90">
        <w:rPr>
          <w:rFonts w:ascii="Times New Roman" w:hAnsi="Times New Roman"/>
          <w:sz w:val="24"/>
          <w:szCs w:val="24"/>
        </w:rPr>
        <w:t>.</w:t>
      </w:r>
    </w:p>
    <w:p w14:paraId="4080C908" w14:textId="01656953" w:rsidR="00831868" w:rsidRPr="00B204BD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831868">
        <w:rPr>
          <w:rFonts w:ascii="Times New Roman" w:hAnsi="Times New Roman"/>
          <w:sz w:val="24"/>
          <w:szCs w:val="24"/>
        </w:rPr>
        <w:t>тачка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2а)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124/2012, 14/2015 </w:t>
      </w:r>
      <w:r w:rsidR="00831868">
        <w:rPr>
          <w:rFonts w:ascii="Times New Roman" w:hAnsi="Times New Roman"/>
          <w:sz w:val="24"/>
          <w:szCs w:val="24"/>
          <w:lang w:val="sr-Cyrl-CS"/>
        </w:rPr>
        <w:t>и</w:t>
      </w:r>
      <w:r w:rsidRPr="00831868">
        <w:rPr>
          <w:rFonts w:ascii="Times New Roman" w:hAnsi="Times New Roman"/>
          <w:sz w:val="24"/>
          <w:szCs w:val="24"/>
        </w:rPr>
        <w:t xml:space="preserve"> 68/2015</w:t>
      </w:r>
      <w:r w:rsidRPr="00B204BD">
        <w:rPr>
          <w:rFonts w:ascii="Times New Roman" w:hAnsi="Times New Roman"/>
          <w:sz w:val="24"/>
          <w:szCs w:val="24"/>
        </w:rPr>
        <w:t>“),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складу са </w:t>
      </w:r>
      <w:r w:rsidRPr="00B204BD">
        <w:rPr>
          <w:rFonts w:ascii="Times New Roman" w:hAnsi="Times New Roman"/>
          <w:sz w:val="24"/>
          <w:szCs w:val="24"/>
          <w:lang w:val="sr-Cyrl-RS"/>
        </w:rPr>
        <w:t>Законом о потврђивању финансијског уговора FI N. 25.497 (RS) између Европске инвестиционе банке и Републике Србије („Службени гласник РС“ – Међународни уговори“, број 5/10)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закљученим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године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у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B204BD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="00D40BA8">
        <w:rPr>
          <w:rFonts w:ascii="Times New Roman" w:hAnsi="Times New Roman"/>
          <w:sz w:val="24"/>
          <w:szCs w:val="24"/>
          <w:lang w:val="sr-Cyrl-CS"/>
        </w:rPr>
        <w:t xml:space="preserve"> радова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1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B5E90">
        <w:rPr>
          <w:rFonts w:ascii="Times New Roman" w:hAnsi="Times New Roman"/>
          <w:b/>
          <w:sz w:val="24"/>
          <w:szCs w:val="24"/>
          <w:lang w:val="ru-RU"/>
        </w:rPr>
        <w:t xml:space="preserve">Електронски факултет (Универзитет </w:t>
      </w:r>
      <w:r w:rsidR="002B5E90" w:rsidRPr="002A7761">
        <w:rPr>
          <w:rFonts w:ascii="Times New Roman" w:hAnsi="Times New Roman"/>
          <w:b/>
          <w:sz w:val="24"/>
          <w:szCs w:val="24"/>
          <w:lang w:val="ru-RU"/>
        </w:rPr>
        <w:t>у Нишу)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 xml:space="preserve">, Извођење радова на изградњи </w:t>
      </w:r>
      <w:r w:rsidR="002A7761" w:rsidRPr="002A7761">
        <w:rPr>
          <w:rFonts w:ascii="Times New Roman" w:hAnsi="Times New Roman"/>
          <w:b/>
          <w:sz w:val="24"/>
          <w:szCs w:val="24"/>
          <w:lang w:val="ru-RU"/>
        </w:rPr>
        <w:t>вишенаменске ламеле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,</w:t>
      </w:r>
      <w:r w:rsidR="00831868" w:rsidRPr="002A7761">
        <w:rPr>
          <w:rFonts w:ascii="Times New Roman" w:hAnsi="Times New Roman"/>
          <w:sz w:val="24"/>
          <w:szCs w:val="24"/>
        </w:rPr>
        <w:t xml:space="preserve"> 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831868" w:rsidRPr="002A7761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 xml:space="preserve"> ИОП/1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>5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-2018/РД (</w:t>
      </w:r>
      <w:r w:rsidR="00831868" w:rsidRPr="002A7761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831868" w:rsidRPr="002A7761">
        <w:rPr>
          <w:rFonts w:ascii="Times New Roman" w:hAnsi="Times New Roman"/>
          <w:b/>
          <w:sz w:val="24"/>
          <w:szCs w:val="24"/>
          <w:lang w:val="en-US"/>
        </w:rPr>
        <w:t>1</w:t>
      </w:r>
      <w:r w:rsidR="006F652F" w:rsidRPr="002A7761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-2018/</w:t>
      </w:r>
      <w:r w:rsidR="00831868" w:rsidRPr="002A7761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1"/>
      <w:r w:rsidR="00B204BD" w:rsidRPr="002A77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04BD" w:rsidRPr="002A7761">
        <w:rPr>
          <w:rFonts w:ascii="Times New Roman" w:hAnsi="Times New Roman"/>
          <w:sz w:val="24"/>
          <w:szCs w:val="24"/>
          <w:lang w:val="ru-RU"/>
        </w:rPr>
        <w:t>и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тендерској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B204BD">
        <w:rPr>
          <w:rFonts w:ascii="Times New Roman" w:hAnsi="Times New Roman"/>
          <w:sz w:val="24"/>
          <w:szCs w:val="24"/>
          <w:lang w:val="ru-RU"/>
        </w:rPr>
        <w:t>.</w:t>
      </w:r>
    </w:p>
    <w:p w14:paraId="27AD11E6" w14:textId="75B502C0" w:rsidR="00B204BD" w:rsidRPr="00B204BD" w:rsidRDefault="00B204BD" w:rsidP="00FC66C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204BD">
        <w:rPr>
          <w:rFonts w:ascii="Times New Roman" w:hAnsi="Times New Roman"/>
          <w:sz w:val="24"/>
          <w:szCs w:val="24"/>
          <w:lang w:val="ru-RU"/>
        </w:rPr>
        <w:t xml:space="preserve">Процењена вредност набавке је </w:t>
      </w:r>
      <w:r w:rsidR="00FA2AE6">
        <w:rPr>
          <w:rFonts w:ascii="Times New Roman" w:hAnsi="Times New Roman"/>
          <w:b/>
          <w:sz w:val="24"/>
          <w:szCs w:val="24"/>
          <w:lang w:val="sr-Cyrl-RS"/>
        </w:rPr>
        <w:t>4.250</w:t>
      </w:r>
      <w:r w:rsidRPr="00B204BD">
        <w:rPr>
          <w:rFonts w:ascii="Times New Roman" w:hAnsi="Times New Roman"/>
          <w:b/>
          <w:sz w:val="24"/>
          <w:szCs w:val="24"/>
        </w:rPr>
        <w:t xml:space="preserve">.000 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ЕУР</w:t>
      </w:r>
      <w:r w:rsidRPr="00B204BD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B204BD">
        <w:rPr>
          <w:rFonts w:ascii="Times New Roman" w:hAnsi="Times New Roman"/>
          <w:sz w:val="24"/>
          <w:szCs w:val="24"/>
          <w:lang w:val="sr-Cyrl-CS"/>
        </w:rPr>
        <w:t>.</w:t>
      </w:r>
    </w:p>
    <w:p w14:paraId="35945DCD" w14:textId="0EB8256A" w:rsidR="00B204BD" w:rsidRPr="00994FCE" w:rsidRDefault="00B204BD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Очекивани датум почетка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радова је </w:t>
      </w:r>
      <w:r w:rsidR="008C03CB" w:rsidRPr="008C03CB">
        <w:rPr>
          <w:rFonts w:ascii="Times New Roman" w:eastAsia="Times New Roman" w:hAnsi="Times New Roman"/>
          <w:sz w:val="24"/>
          <w:szCs w:val="24"/>
          <w:lang w:val="sr-Cyrl-CS" w:eastAsia="nl-NL"/>
        </w:rPr>
        <w:t>фебруар</w:t>
      </w:r>
      <w:r w:rsidRPr="008C03C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201</w:t>
      </w:r>
      <w:r w:rsidR="00FA2AE6" w:rsidRPr="008C03CB">
        <w:rPr>
          <w:rFonts w:ascii="Times New Roman" w:eastAsia="Times New Roman" w:hAnsi="Times New Roman"/>
          <w:sz w:val="24"/>
          <w:szCs w:val="24"/>
          <w:lang w:val="sr-Cyrl-CS" w:eastAsia="nl-NL"/>
        </w:rPr>
        <w:t>9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. године</w:t>
      </w:r>
      <w:r w:rsidR="001841DC">
        <w:rPr>
          <w:rFonts w:ascii="Times New Roman" w:eastAsia="Times New Roman" w:hAnsi="Times New Roman"/>
          <w:sz w:val="24"/>
          <w:szCs w:val="24"/>
          <w:lang w:val="sr-Cyrl-CS" w:eastAsia="nl-NL"/>
        </w:rPr>
        <w:t>.</w:t>
      </w:r>
    </w:p>
    <w:p w14:paraId="17DF529F" w14:textId="77777777" w:rsidR="00D457EF" w:rsidRDefault="00D457EF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D716CBC" w14:textId="77777777" w:rsidR="00B204BD" w:rsidRPr="00881A87" w:rsidRDefault="005537E8" w:rsidP="00F568F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CB6720">
        <w:rPr>
          <w:rFonts w:ascii="Times New Roman" w:hAnsi="Times New Roman"/>
          <w:sz w:val="24"/>
          <w:szCs w:val="24"/>
        </w:rPr>
        <w:t>Ознака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општег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речника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набавке</w:t>
      </w:r>
      <w:proofErr w:type="spellEnd"/>
      <w:r w:rsidR="004F6D78" w:rsidRPr="00881A87">
        <w:rPr>
          <w:rFonts w:ascii="Times New Roman" w:hAnsi="Times New Roman"/>
          <w:sz w:val="24"/>
          <w:szCs w:val="24"/>
          <w:lang w:val="sr-Cyrl-CS"/>
        </w:rPr>
        <w:t>:</w:t>
      </w:r>
      <w:r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4F6D78"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>45000000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  <w:t>Грађевински радови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3365535F" w14:textId="77777777" w:rsidR="004F6D78" w:rsidRPr="00881A87" w:rsidRDefault="004F6D78" w:rsidP="004F6D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881A87">
        <w:rPr>
          <w:rFonts w:ascii="Times New Roman" w:eastAsia="Times New Roman" w:hAnsi="Times New Roman"/>
          <w:sz w:val="24"/>
          <w:szCs w:val="24"/>
          <w:lang w:val="da-DK" w:eastAsia="nl-NL"/>
        </w:rPr>
        <w:t>Кратак опис радова</w:t>
      </w:r>
      <w:r w:rsidRPr="00881A87">
        <w:rPr>
          <w:rFonts w:ascii="Times New Roman" w:eastAsia="Times New Roman" w:hAnsi="Times New Roman"/>
          <w:sz w:val="24"/>
          <w:szCs w:val="24"/>
          <w:lang w:val="sr-Latn-CS" w:eastAsia="nl-NL"/>
        </w:rPr>
        <w:t>:</w:t>
      </w:r>
    </w:p>
    <w:p w14:paraId="6DBF2178" w14:textId="3DDD6BD5" w:rsidR="002A7761" w:rsidRPr="002A7761" w:rsidRDefault="002A7761" w:rsidP="002A7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nl-NL"/>
        </w:rPr>
      </w:pPr>
    </w:p>
    <w:p w14:paraId="574F34CE" w14:textId="77777777" w:rsidR="002A7761" w:rsidRPr="002A7761" w:rsidRDefault="002A7761" w:rsidP="002A7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sr-Cyrl-CS" w:eastAsia="sr-Latn-CS"/>
        </w:rPr>
      </w:pPr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Н</w:t>
      </w:r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ови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објекат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Вишенаменск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>а</w:t>
      </w:r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ламел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>е</w:t>
      </w:r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Електронског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факултета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Нишу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је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пројектован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са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спратн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>ошћу</w:t>
      </w:r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П+5, </w:t>
      </w:r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укупне бруто површине (доградња) 6950.38 m2,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на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катастарској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парцели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бр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. 1928/1, К.О.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Ниш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–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Црвени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Крст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14:paraId="14A9A8AB" w14:textId="77777777" w:rsidR="002A7761" w:rsidRPr="002A7761" w:rsidRDefault="002A7761" w:rsidP="002A77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r-Latn-CS"/>
        </w:rPr>
      </w:pPr>
    </w:p>
    <w:p w14:paraId="4BB855D4" w14:textId="77777777" w:rsidR="002A7761" w:rsidRPr="002A7761" w:rsidRDefault="002A7761" w:rsidP="002A77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r-Latn-CS"/>
        </w:rPr>
      </w:pPr>
    </w:p>
    <w:p w14:paraId="79C17835" w14:textId="77777777" w:rsidR="002A7761" w:rsidRPr="002A7761" w:rsidRDefault="002A7761" w:rsidP="002A77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r-Latn-CS"/>
        </w:rPr>
      </w:pPr>
    </w:p>
    <w:p w14:paraId="37F0DE32" w14:textId="77777777" w:rsidR="002A7761" w:rsidRPr="002A7761" w:rsidRDefault="002A7761" w:rsidP="002A7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sr-Cyrl-CS" w:eastAsia="sr-Latn-CS"/>
        </w:rPr>
      </w:pP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lastRenderedPageBreak/>
        <w:t>Вишенаменска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ламела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је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лоцирана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уз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постојећу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зграду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Електронског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факултета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, и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представља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њену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доградњу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, и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са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њом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чини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функционалну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>целину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sr-Latn-CS"/>
        </w:rPr>
        <w:t xml:space="preserve"> (</w:t>
      </w:r>
      <w:r w:rsidRPr="002A7761">
        <w:rPr>
          <w:rFonts w:ascii="Times New Roman" w:eastAsia="Times New Roman" w:hAnsi="Times New Roman"/>
          <w:sz w:val="24"/>
          <w:szCs w:val="24"/>
          <w:lang w:val="sr-Cyrl-CS" w:eastAsia="sr-Latn-CS"/>
        </w:rPr>
        <w:t>грађење у прекинутом реду).</w:t>
      </w:r>
    </w:p>
    <w:p w14:paraId="1D3869DD" w14:textId="77777777" w:rsidR="002A7761" w:rsidRPr="002A7761" w:rsidRDefault="002A7761" w:rsidP="002A7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14:paraId="18420380" w14:textId="77777777" w:rsidR="002A7761" w:rsidRPr="002A7761" w:rsidRDefault="002A7761" w:rsidP="002A7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0"/>
        <w:gridCol w:w="3150"/>
      </w:tblGrid>
      <w:tr w:rsidR="002A7761" w:rsidRPr="002A7761" w14:paraId="3A0C9465" w14:textId="77777777" w:rsidTr="003401E3">
        <w:tc>
          <w:tcPr>
            <w:tcW w:w="10350" w:type="dxa"/>
            <w:gridSpan w:val="2"/>
          </w:tcPr>
          <w:p w14:paraId="378D1287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Преглед главних параметара</w:t>
            </w:r>
            <w:r w:rsidRPr="002A77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2A7761" w:rsidRPr="002A7761" w14:paraId="131709A1" w14:textId="77777777" w:rsidTr="003401E3">
        <w:tc>
          <w:tcPr>
            <w:tcW w:w="7200" w:type="dxa"/>
          </w:tcPr>
          <w:p w14:paraId="0FA5A7E2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Функција објекта</w:t>
            </w:r>
          </w:p>
        </w:tc>
        <w:tc>
          <w:tcPr>
            <w:tcW w:w="3150" w:type="dxa"/>
          </w:tcPr>
          <w:p w14:paraId="61263DA0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Високо образовање</w:t>
            </w:r>
          </w:p>
        </w:tc>
      </w:tr>
      <w:tr w:rsidR="002A7761" w:rsidRPr="002A7761" w14:paraId="6C3716D7" w14:textId="77777777" w:rsidTr="003401E3">
        <w:tc>
          <w:tcPr>
            <w:tcW w:w="7200" w:type="dxa"/>
          </w:tcPr>
          <w:p w14:paraId="75D92B8B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Спратност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постојећи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објекат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27686D55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П+2, П+4, П+7</w:t>
            </w:r>
          </w:p>
        </w:tc>
      </w:tr>
      <w:tr w:rsidR="002A7761" w:rsidRPr="002A7761" w14:paraId="3E3EA69E" w14:textId="77777777" w:rsidTr="003401E3">
        <w:tc>
          <w:tcPr>
            <w:tcW w:w="7200" w:type="dxa"/>
          </w:tcPr>
          <w:p w14:paraId="18742274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Спратност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доградња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3A5A88CB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По+П+5</w:t>
            </w:r>
          </w:p>
        </w:tc>
      </w:tr>
      <w:tr w:rsidR="002A7761" w:rsidRPr="002A7761" w14:paraId="6CECACAC" w14:textId="77777777" w:rsidTr="003401E3">
        <w:tc>
          <w:tcPr>
            <w:tcW w:w="7200" w:type="dxa"/>
          </w:tcPr>
          <w:p w14:paraId="048AD132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Површина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хоризонталне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пројекције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надземног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габарита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објекта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постојећи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објекат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5C881DD0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6965,09м</w:t>
            </w:r>
            <w:r w:rsidRPr="002A77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61" w:rsidRPr="002A7761" w14:paraId="2D65CD46" w14:textId="77777777" w:rsidTr="003401E3">
        <w:tc>
          <w:tcPr>
            <w:tcW w:w="7200" w:type="dxa"/>
          </w:tcPr>
          <w:p w14:paraId="4EA922D7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укупна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БРГП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надземно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постојећи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објекат</w:t>
            </w:r>
            <w:proofErr w:type="spellEnd"/>
          </w:p>
        </w:tc>
        <w:tc>
          <w:tcPr>
            <w:tcW w:w="3150" w:type="dxa"/>
          </w:tcPr>
          <w:p w14:paraId="49AA82B9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25381,00 м</w:t>
            </w:r>
            <w:r w:rsidRPr="002A77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7761" w:rsidRPr="002A7761" w14:paraId="5C248D71" w14:textId="77777777" w:rsidTr="003401E3">
        <w:tc>
          <w:tcPr>
            <w:tcW w:w="7200" w:type="dxa"/>
          </w:tcPr>
          <w:p w14:paraId="3580B6A5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Висина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објекта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доградња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25EBA4F8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+26.50м (+224,80мнв)</w:t>
            </w:r>
          </w:p>
        </w:tc>
      </w:tr>
      <w:tr w:rsidR="002A7761" w:rsidRPr="002A7761" w14:paraId="59D80EE1" w14:textId="77777777" w:rsidTr="003401E3">
        <w:tc>
          <w:tcPr>
            <w:tcW w:w="7200" w:type="dxa"/>
          </w:tcPr>
          <w:p w14:paraId="01530F9B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Облик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крова</w:t>
            </w:r>
            <w:proofErr w:type="spellEnd"/>
          </w:p>
        </w:tc>
        <w:tc>
          <w:tcPr>
            <w:tcW w:w="3150" w:type="dxa"/>
          </w:tcPr>
          <w:p w14:paraId="6A8A61D5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Раван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кров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761" w:rsidRPr="002A7761" w14:paraId="62BF423B" w14:textId="77777777" w:rsidTr="003401E3">
        <w:tc>
          <w:tcPr>
            <w:tcW w:w="7200" w:type="dxa"/>
          </w:tcPr>
          <w:p w14:paraId="50BFC59F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Број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паркинг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места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новопројектована</w:t>
            </w:r>
            <w:proofErr w:type="spellEnd"/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680D5693" w14:textId="77777777" w:rsidR="002A7761" w:rsidRPr="002A7761" w:rsidRDefault="002A7761" w:rsidP="00241B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761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</w:tr>
    </w:tbl>
    <w:p w14:paraId="5E5CC2CC" w14:textId="77777777" w:rsidR="002A7761" w:rsidRPr="002A7761" w:rsidRDefault="002A7761" w:rsidP="002A7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14:paraId="7FADB1A4" w14:textId="77777777" w:rsidR="00F568F9" w:rsidRPr="002A7761" w:rsidRDefault="00F568F9" w:rsidP="002A77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584EDE5" w14:textId="77777777" w:rsidR="005537E8" w:rsidRDefault="005537E8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776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понуде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са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није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. </w:t>
      </w:r>
    </w:p>
    <w:p w14:paraId="17A733D9" w14:textId="77777777" w:rsidR="0098425E" w:rsidRDefault="0098425E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CD484" w14:textId="77777777" w:rsidR="005537E8" w:rsidRDefault="005537E8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Уговор ће бити закључен са најповољнијим понуђачем у међународном отвореном поступку јавне набавке.</w:t>
      </w:r>
    </w:p>
    <w:p w14:paraId="43F186C6" w14:textId="77777777" w:rsidR="0098425E" w:rsidRPr="00B204BD" w:rsidRDefault="0098425E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23CC23F6" w14:textId="6C1A360B" w:rsidR="005537E8" w:rsidRDefault="005537E8" w:rsidP="005537E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43D8">
        <w:rPr>
          <w:rFonts w:ascii="Times New Roman" w:hAnsi="Times New Roman"/>
          <w:sz w:val="24"/>
          <w:szCs w:val="24"/>
          <w:lang w:val="sr-Cyrl-CS"/>
        </w:rPr>
        <w:t>Реализација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3C43D8">
        <w:rPr>
          <w:rFonts w:ascii="Times New Roman" w:hAnsi="Times New Roman"/>
          <w:sz w:val="24"/>
          <w:szCs w:val="24"/>
          <w:lang w:val="sr-Cyrl-CS"/>
        </w:rPr>
        <w:t xml:space="preserve"> очекује у периоду 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5063C" w:rsidRPr="00D5063C">
        <w:rPr>
          <w:rFonts w:ascii="Times New Roman" w:hAnsi="Times New Roman"/>
          <w:sz w:val="24"/>
          <w:szCs w:val="24"/>
          <w:lang w:val="sr-Cyrl-CS"/>
        </w:rPr>
        <w:t>фебруара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FA2AE6" w:rsidRPr="00D5063C">
        <w:rPr>
          <w:rFonts w:ascii="Times New Roman" w:hAnsi="Times New Roman"/>
          <w:sz w:val="24"/>
          <w:szCs w:val="24"/>
          <w:lang w:val="sr-Cyrl-CS"/>
        </w:rPr>
        <w:t>9</w:t>
      </w:r>
      <w:r w:rsidRPr="00D5063C">
        <w:rPr>
          <w:rFonts w:ascii="Times New Roman" w:hAnsi="Times New Roman"/>
          <w:sz w:val="24"/>
          <w:szCs w:val="24"/>
        </w:rPr>
        <w:t>.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до </w:t>
      </w:r>
      <w:r w:rsidR="00D5063C" w:rsidRPr="00D5063C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D5063C" w:rsidRPr="00D5063C">
        <w:rPr>
          <w:rFonts w:ascii="Times New Roman" w:hAnsi="Times New Roman"/>
          <w:sz w:val="24"/>
          <w:szCs w:val="24"/>
          <w:lang w:val="sr-Cyrl-CS"/>
        </w:rPr>
        <w:t>20</w:t>
      </w:r>
      <w:r w:rsidRPr="00244EBB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(искључујући Период за извештавање о недостацима)</w:t>
      </w:r>
      <w:r w:rsidRPr="00244EBB">
        <w:rPr>
          <w:rFonts w:ascii="Times New Roman" w:hAnsi="Times New Roman"/>
          <w:sz w:val="24"/>
          <w:szCs w:val="24"/>
          <w:lang w:val="sr-Cyrl-CS"/>
        </w:rPr>
        <w:t>.</w:t>
      </w:r>
    </w:p>
    <w:p w14:paraId="698C5986" w14:textId="77777777" w:rsidR="00936AD5" w:rsidRPr="0098425E" w:rsidRDefault="00022032" w:rsidP="0098425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E14EE">
        <w:rPr>
          <w:rFonts w:ascii="Times New Roman" w:hAnsi="Times New Roman"/>
          <w:sz w:val="24"/>
          <w:szCs w:val="24"/>
          <w:lang w:val="sr-Cyrl-CS"/>
        </w:rPr>
        <w:t>Критеријум за избор најповољније понуде је најнижа понуђена цена.</w:t>
      </w:r>
    </w:p>
    <w:p w14:paraId="48535C9F" w14:textId="77777777" w:rsid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Право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овом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међународном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отвореном поступку јавне набавке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имају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сва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заинтересована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лица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која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65179">
        <w:rPr>
          <w:rFonts w:ascii="Times New Roman" w:eastAsia="Times New Roman" w:hAnsi="Times New Roman"/>
          <w:sz w:val="24"/>
          <w:szCs w:val="24"/>
          <w:lang w:val="sr-Cyrl-CS" w:eastAsia="nl-NL"/>
        </w:rPr>
        <w:t>испуњавају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обавезне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услове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учествовање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тендерској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процедури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Понуђачи су дужни да доставе доказе о испуњавању услова</w:t>
      </w:r>
      <w:r w:rsidR="009C448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учешће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, на начин на који је то прописано Конкурсном документацијом.</w:t>
      </w:r>
    </w:p>
    <w:p w14:paraId="41150BAA" w14:textId="77777777" w:rsidR="00936AD5" w:rsidRP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5F6D52AC" w14:textId="77777777" w:rsidR="00936AD5" w:rsidRPr="00936AD5" w:rsidRDefault="00936AD5" w:rsidP="00936AD5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Услови које сваки понуђач треба да испуни</w:t>
      </w:r>
      <w:r w:rsidR="0031227A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,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као и начин на који се доказује испуњеност услова одређени су </w:t>
      </w:r>
      <w:r w:rsidR="00B2335F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К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онкурсном документацијом.</w:t>
      </w:r>
    </w:p>
    <w:p w14:paraId="00096921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rFonts w:eastAsia="Calibri"/>
          <w:color w:val="6D6E70"/>
          <w:lang w:eastAsia="en-US"/>
        </w:rPr>
      </w:pPr>
      <w:r w:rsidRPr="004029A6">
        <w:rPr>
          <w:lang w:val="sr-Cyrl-CS"/>
        </w:rPr>
        <w:t xml:space="preserve">Додатне </w:t>
      </w:r>
      <w:r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proofErr w:type="spellStart"/>
      <w:r w:rsidRPr="009C448B">
        <w:rPr>
          <w:rFonts w:eastAsia="Calibri"/>
          <w:lang w:eastAsia="en-US"/>
        </w:rPr>
        <w:t>путем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C448B">
        <w:rPr>
          <w:rFonts w:eastAsia="Calibri"/>
          <w:lang w:eastAsia="en-US"/>
        </w:rPr>
        <w:t>електронске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поште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на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адресу</w:t>
      </w:r>
      <w:proofErr w:type="spellEnd"/>
      <w:r w:rsidRPr="0098425E">
        <w:rPr>
          <w:rFonts w:eastAsia="Calibri"/>
          <w:color w:val="6D6E70"/>
          <w:lang w:eastAsia="en-US"/>
        </w:rPr>
        <w:t>: </w:t>
      </w:r>
      <w:hyperlink r:id="rId8" w:history="1">
        <w:r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Pr="0098425E">
        <w:rPr>
          <w:rFonts w:eastAsia="Calibri"/>
          <w:color w:val="6D6E70"/>
          <w:lang w:eastAsia="en-US"/>
        </w:rPr>
        <w:t>.</w:t>
      </w:r>
    </w:p>
    <w:p w14:paraId="0412C5E6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Cyrl-CS"/>
        </w:rPr>
      </w:pPr>
    </w:p>
    <w:p w14:paraId="5F3EB0CA" w14:textId="77777777" w:rsidR="009C448B" w:rsidRDefault="00CF7CC4" w:rsidP="009C448B">
      <w:pPr>
        <w:pStyle w:val="NormalWeb"/>
        <w:spacing w:before="0" w:beforeAutospacing="0" w:after="0" w:afterAutospacing="0"/>
        <w:jc w:val="both"/>
        <w:rPr>
          <w:rFonts w:cs="Arial"/>
          <w:szCs w:val="22"/>
          <w:lang w:val="sr-Cyrl-CS"/>
        </w:rPr>
      </w:pPr>
      <w:r>
        <w:rPr>
          <w:rFonts w:cs="Arial"/>
          <w:szCs w:val="22"/>
          <w:lang w:val="da-DK"/>
        </w:rPr>
        <w:t>Конкурсна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документација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је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sr-Cyrl-CS"/>
        </w:rPr>
        <w:t>доступна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da-DK"/>
        </w:rPr>
        <w:t>на</w:t>
      </w:r>
      <w:r w:rsidRPr="00BB7E15">
        <w:rPr>
          <w:rFonts w:cs="Arial"/>
          <w:szCs w:val="22"/>
          <w:lang w:val="da-DK"/>
        </w:rPr>
        <w:t xml:space="preserve"> </w:t>
      </w:r>
      <w:r>
        <w:rPr>
          <w:rFonts w:cs="Arial"/>
          <w:szCs w:val="22"/>
          <w:lang w:val="sr-Cyrl-CS"/>
        </w:rPr>
        <w:t xml:space="preserve">енглеском језику, осим </w:t>
      </w:r>
      <w:r w:rsidR="009D523D">
        <w:rPr>
          <w:rFonts w:cs="Arial"/>
          <w:szCs w:val="22"/>
          <w:lang w:val="sr-Cyrl-CS"/>
        </w:rPr>
        <w:t>документације која представља Пројекат за извођење,</w:t>
      </w:r>
      <w:r>
        <w:rPr>
          <w:rFonts w:cs="Arial"/>
          <w:szCs w:val="22"/>
          <w:lang w:val="sr-Cyrl-CS"/>
        </w:rPr>
        <w:t xml:space="preserve"> кој</w:t>
      </w:r>
      <w:r w:rsidR="009D523D">
        <w:rPr>
          <w:rFonts w:cs="Arial"/>
          <w:szCs w:val="22"/>
          <w:lang w:val="sr-Cyrl-CS"/>
        </w:rPr>
        <w:t>а је</w:t>
      </w:r>
      <w:r>
        <w:rPr>
          <w:rFonts w:cs="Arial"/>
          <w:szCs w:val="22"/>
          <w:lang w:val="sr-Cyrl-CS"/>
        </w:rPr>
        <w:t xml:space="preserve"> дат</w:t>
      </w:r>
      <w:r w:rsidR="009D523D">
        <w:rPr>
          <w:rFonts w:cs="Arial"/>
          <w:szCs w:val="22"/>
          <w:lang w:val="sr-Cyrl-CS"/>
        </w:rPr>
        <w:t>а</w:t>
      </w:r>
      <w:r>
        <w:rPr>
          <w:rFonts w:cs="Arial"/>
          <w:szCs w:val="22"/>
          <w:lang w:val="sr-Cyrl-CS"/>
        </w:rPr>
        <w:t xml:space="preserve"> на српском језику.</w:t>
      </w:r>
    </w:p>
    <w:p w14:paraId="031131A3" w14:textId="77777777" w:rsidR="0098425E" w:rsidRPr="00CF7CC4" w:rsidRDefault="0098425E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Latn-CS"/>
        </w:rPr>
      </w:pPr>
    </w:p>
    <w:p w14:paraId="45A9EBF8" w14:textId="77777777" w:rsidR="00105E82" w:rsidRDefault="00105E82" w:rsidP="009C448B">
      <w:pPr>
        <w:pStyle w:val="NormalWeb"/>
        <w:spacing w:before="0" w:beforeAutospacing="0" w:after="0" w:afterAutospacing="0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szCs w:val="22"/>
          <w:lang w:val="it-IT"/>
        </w:rPr>
        <w:t>Конкурсна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документација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ће бити доступна за преузимање сваком заинтересованом лицу путем интернет странице наручиоца</w:t>
      </w:r>
      <w:r w:rsidRPr="000A027C">
        <w:rPr>
          <w:rFonts w:eastAsia="Calibri" w:cs="Arial"/>
          <w:szCs w:val="22"/>
          <w:lang w:eastAsia="en-US"/>
        </w:rPr>
        <w:t xml:space="preserve">: </w:t>
      </w:r>
      <w:hyperlink r:id="rId9" w:history="1">
        <w:r w:rsidRPr="000A027C">
          <w:rPr>
            <w:rFonts w:eastAsia="Calibri" w:cs="Arial"/>
            <w:color w:val="0000FF"/>
            <w:szCs w:val="22"/>
            <w:u w:val="single"/>
            <w:lang w:eastAsia="en-US"/>
          </w:rPr>
          <w:t>http://www.obnova.gov.rs/english/public-procurement</w:t>
        </w:r>
      </w:hyperlink>
      <w:r w:rsidRPr="000A027C">
        <w:rPr>
          <w:rFonts w:eastAsia="Calibri" w:cs="Arial"/>
          <w:szCs w:val="22"/>
          <w:lang w:eastAsia="en-US"/>
        </w:rPr>
        <w:t xml:space="preserve"> </w:t>
      </w:r>
    </w:p>
    <w:p w14:paraId="22CE53F4" w14:textId="77777777" w:rsidR="001E076C" w:rsidRPr="001E076C" w:rsidRDefault="001E076C" w:rsidP="001E0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nl-NL"/>
        </w:rPr>
      </w:pPr>
    </w:p>
    <w:p w14:paraId="60776D5D" w14:textId="1CAFD998" w:rsidR="00105E82" w:rsidRPr="00365A7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1E076C">
        <w:rPr>
          <w:rFonts w:ascii="Times New Roman" w:eastAsia="Times New Roman" w:hAnsi="Times New Roman"/>
          <w:sz w:val="24"/>
          <w:szCs w:val="24"/>
          <w:lang w:val="it-IT" w:eastAsia="nl-NL"/>
        </w:rPr>
        <w:t>Све понуде морају да садрже</w:t>
      </w:r>
      <w:r w:rsidRPr="001E076C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 xml:space="preserve">Тендерску гаранцију банке у износу од </w:t>
      </w:r>
      <w:r w:rsidR="00FA2AE6">
        <w:rPr>
          <w:rFonts w:ascii="Times New Roman" w:hAnsi="Times New Roman"/>
          <w:b/>
          <w:sz w:val="24"/>
          <w:szCs w:val="24"/>
          <w:lang w:val="sr-Cyrl-CS" w:eastAsia="nl-NL"/>
        </w:rPr>
        <w:t>5</w:t>
      </w:r>
      <w:r w:rsidRPr="001E076C">
        <w:rPr>
          <w:rFonts w:ascii="Times New Roman" w:hAnsi="Times New Roman"/>
          <w:b/>
          <w:sz w:val="24"/>
          <w:szCs w:val="24"/>
          <w:lang w:val="it-IT" w:eastAsia="nl-NL"/>
        </w:rPr>
        <w:t>0.000 Евра</w:t>
      </w:r>
      <w:r w:rsidR="003607B0">
        <w:rPr>
          <w:rFonts w:ascii="Times New Roman" w:hAnsi="Times New Roman"/>
          <w:b/>
          <w:sz w:val="24"/>
          <w:szCs w:val="24"/>
          <w:lang w:val="sr-Cyrl-CS" w:eastAsia="nl-NL"/>
        </w:rPr>
        <w:t xml:space="preserve">. </w:t>
      </w:r>
      <w:r w:rsidR="00365A76" w:rsidRPr="00365A76">
        <w:rPr>
          <w:rFonts w:ascii="Times New Roman" w:hAnsi="Times New Roman"/>
          <w:sz w:val="24"/>
          <w:szCs w:val="24"/>
          <w:lang w:val="sr-Cyrl-CS" w:eastAsia="nl-NL"/>
        </w:rPr>
        <w:t>За понуђаче из земље Наручиоца</w:t>
      </w:r>
      <w:r w:rsidR="00365A76">
        <w:rPr>
          <w:rFonts w:ascii="Times New Roman" w:hAnsi="Times New Roman"/>
          <w:sz w:val="24"/>
          <w:szCs w:val="24"/>
          <w:lang w:val="sr-Cyrl-CS" w:eastAsia="nl-NL"/>
        </w:rPr>
        <w:t xml:space="preserve">: </w:t>
      </w:r>
      <w:proofErr w:type="spellStart"/>
      <w:r w:rsidR="00365A76" w:rsidRPr="00B8084E">
        <w:rPr>
          <w:rFonts w:ascii="Times New Roman" w:hAnsi="Times New Roman"/>
          <w:sz w:val="24"/>
          <w:szCs w:val="24"/>
        </w:rPr>
        <w:t>наплативо</w:t>
      </w:r>
      <w:proofErr w:type="spellEnd"/>
      <w:r w:rsidR="00365A76" w:rsidRPr="00B8084E">
        <w:rPr>
          <w:rFonts w:ascii="Times New Roman" w:hAnsi="Times New Roman"/>
          <w:sz w:val="24"/>
          <w:szCs w:val="24"/>
        </w:rPr>
        <w:t xml:space="preserve"> у</w:t>
      </w:r>
      <w:r w:rsidR="00365A76">
        <w:rPr>
          <w:rFonts w:ascii="Times New Roman" w:hAnsi="Times New Roman"/>
          <w:sz w:val="24"/>
          <w:szCs w:val="24"/>
          <w:lang w:val="sr-Cyrl-CS"/>
        </w:rPr>
        <w:t xml:space="preserve"> валути српски динар (РСД)</w:t>
      </w:r>
      <w:r w:rsidR="00365A76"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B8084E">
        <w:rPr>
          <w:rFonts w:ascii="Times New Roman" w:hAnsi="Times New Roman"/>
          <w:sz w:val="24"/>
          <w:szCs w:val="24"/>
        </w:rPr>
        <w:t>по</w:t>
      </w:r>
      <w:proofErr w:type="spellEnd"/>
      <w:r w:rsidR="00365A76"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средњем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курсу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на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дан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наплате</w:t>
      </w:r>
      <w:proofErr w:type="spellEnd"/>
      <w:r w:rsidR="00365A76" w:rsidRPr="00DE3E5A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Pr="001E076C">
        <w:rPr>
          <w:rFonts w:ascii="Times New Roman" w:hAnsi="Times New Roman"/>
          <w:sz w:val="24"/>
          <w:szCs w:val="24"/>
          <w:lang w:val="es-ES" w:eastAsia="nl-NL"/>
        </w:rPr>
        <w:t xml:space="preserve">.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>Тендерска гаранција банке мора да буде важећа најмање тридесет (30) дана након истека рока важности Понуде</w:t>
      </w:r>
      <w:r w:rsidRPr="001E076C">
        <w:rPr>
          <w:rFonts w:ascii="Times New Roman" w:hAnsi="Times New Roman"/>
          <w:sz w:val="24"/>
          <w:szCs w:val="24"/>
          <w:lang w:val="sr-Cyrl-CS" w:eastAsia="nl-NL"/>
        </w:rPr>
        <w:t>.</w:t>
      </w:r>
    </w:p>
    <w:p w14:paraId="60AB6BB0" w14:textId="77777777" w:rsidR="00F00EE0" w:rsidRPr="001E076C" w:rsidRDefault="00F00EE0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</w:p>
    <w:p w14:paraId="2B4F3626" w14:textId="322B511E" w:rsidR="008B178F" w:rsidRPr="00F00EE0" w:rsidRDefault="00F00EE0" w:rsidP="008B1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F00EE0">
        <w:rPr>
          <w:rFonts w:ascii="Times New Roman" w:hAnsi="Times New Roman"/>
          <w:sz w:val="24"/>
          <w:szCs w:val="24"/>
          <w:lang w:val="it-IT" w:eastAsia="nl-NL"/>
        </w:rPr>
        <w:t>Тендерск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>а</w:t>
      </w:r>
      <w:r w:rsidRPr="00F00EE0">
        <w:rPr>
          <w:rFonts w:ascii="Times New Roman" w:hAnsi="Times New Roman"/>
          <w:sz w:val="24"/>
          <w:szCs w:val="24"/>
          <w:lang w:val="it-IT" w:eastAsia="nl-NL"/>
        </w:rPr>
        <w:t xml:space="preserve"> гаранциј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>а</w:t>
      </w:r>
      <w:r w:rsidRPr="00F00EE0">
        <w:rPr>
          <w:rFonts w:ascii="Times New Roman" w:hAnsi="Times New Roman"/>
          <w:sz w:val="24"/>
          <w:szCs w:val="24"/>
          <w:lang w:val="it-IT" w:eastAsia="nl-NL"/>
        </w:rPr>
        <w:t xml:space="preserve"> банке</w:t>
      </w:r>
      <w:r w:rsidR="00514D34">
        <w:rPr>
          <w:rFonts w:ascii="Times New Roman" w:hAnsi="Times New Roman"/>
          <w:sz w:val="24"/>
          <w:szCs w:val="24"/>
          <w:lang w:val="sr-Cyrl-CS" w:eastAsia="nl-NL"/>
        </w:rPr>
        <w:t>, као</w:t>
      </w:r>
      <w:r w:rsidRPr="00F00EE0">
        <w:rPr>
          <w:rFonts w:ascii="Times New Roman" w:hAnsi="Times New Roman"/>
          <w:sz w:val="24"/>
          <w:szCs w:val="24"/>
          <w:lang w:val="sr-Cyrl-CS" w:eastAsia="nl-NL"/>
        </w:rPr>
        <w:t xml:space="preserve"> и </w:t>
      </w:r>
      <w:r w:rsidRPr="00F00EE0">
        <w:rPr>
          <w:rFonts w:ascii="Times New Roman" w:eastAsia="Times New Roman" w:hAnsi="Times New Roman"/>
          <w:sz w:val="24"/>
          <w:szCs w:val="24"/>
          <w:lang w:val="sr-Cyrl-CS" w:eastAsia="nl-NL"/>
        </w:rPr>
        <w:t>г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аранција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авансног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плаћања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</w:t>
      </w:r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гаранција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добро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извршење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посла</w:t>
      </w:r>
      <w:proofErr w:type="spellEnd"/>
      <w:r w:rsidRPr="00F00EE0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које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изабрани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понуђач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обавезан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достави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закључења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уговора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морају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буду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потврђене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од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стране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домаће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3C7495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односно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извођач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обавезан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уз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стране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обезбеди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и</w:t>
      </w:r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супергаранције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(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контрагаранције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)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домаће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 xml:space="preserve">  </w:t>
      </w:r>
      <w:proofErr w:type="spellStart"/>
      <w:r w:rsidRPr="00F00EE0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="008B178F" w:rsidRPr="00F00EE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18DD2946" w14:textId="77777777" w:rsidR="008B178F" w:rsidRPr="00F00EE0" w:rsidRDefault="008B178F" w:rsidP="008B1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7851142" w14:textId="77777777" w:rsid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>Све банкарске гаранције морају бити неопозиве, без приговора, безусловне и плативе на први позив</w:t>
      </w:r>
      <w:r w:rsidRPr="002C4C1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46F3FEF9" w14:textId="77777777"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198962D0" w14:textId="77777777"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Период важности понуда је најмање 120 календарских дана од дана који је крајњи рок за подношење понуда. </w:t>
      </w:r>
    </w:p>
    <w:p w14:paraId="46A07C8F" w14:textId="77777777" w:rsidR="003917D7" w:rsidRPr="003917D7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15D7603B" w14:textId="77777777" w:rsidR="003917D7" w:rsidRPr="00DC7BF6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У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случају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укаже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потреба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Наручилац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организовати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предтендерски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састанак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посету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локацији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о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чему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сва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лица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благовремено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обавештена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писаним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путем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то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објављивањем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обавештења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Pr="00DC7BF6">
        <w:rPr>
          <w:rFonts w:ascii="Times New Roman" w:eastAsia="Times New Roman" w:hAnsi="Times New Roman"/>
          <w:sz w:val="24"/>
          <w:szCs w:val="24"/>
          <w:lang w:val="it-IT" w:eastAsia="nl-NL"/>
        </w:rPr>
        <w:t>путем интернет странице наручиоца</w:t>
      </w:r>
      <w:r w:rsidRPr="00DC7BF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  <w:r w:rsidRPr="00DC7BF6">
        <w:rPr>
          <w:rFonts w:ascii="Times New Roman" w:hAnsi="Times New Roman"/>
          <w:sz w:val="24"/>
          <w:szCs w:val="24"/>
        </w:rPr>
        <w:t xml:space="preserve"> and </w:t>
      </w:r>
      <w:hyperlink r:id="rId11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cirilica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javne-nabavke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DC7BF6">
        <w:rPr>
          <w:rFonts w:ascii="Times New Roman" w:hAnsi="Times New Roman"/>
          <w:sz w:val="24"/>
          <w:szCs w:val="24"/>
        </w:rPr>
        <w:t>.</w:t>
      </w:r>
    </w:p>
    <w:p w14:paraId="02936897" w14:textId="77777777" w:rsidR="001E076C" w:rsidRPr="00DC7BF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6C202253" w14:textId="5D78D33A" w:rsidR="00BE0B70" w:rsidRPr="0031227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буду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канцеларију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која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налази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следећој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E61CAF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не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касније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од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r w:rsidR="004C07AC" w:rsidRPr="00E61CA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27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 </w:t>
      </w:r>
      <w:r w:rsidR="00702CC8" w:rsidRPr="00E61CA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новембра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2018.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године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у 1</w:t>
      </w:r>
      <w:r w:rsidRPr="00E61CA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.00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часова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: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</w:p>
    <w:p w14:paraId="27D1B035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3261BAF2" w14:textId="77777777" w:rsidR="00BE0B70" w:rsidRPr="00BE0B70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јавним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BE0B70">
        <w:rPr>
          <w:rFonts w:ascii="Times New Roman" w:hAnsi="Times New Roman"/>
          <w:sz w:val="24"/>
          <w:szCs w:val="24"/>
        </w:rPr>
        <w:t>,</w:t>
      </w:r>
    </w:p>
    <w:p w14:paraId="682EE941" w14:textId="77777777" w:rsidR="005A330D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улица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Немањина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бр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Pr="00BE0B70">
        <w:rPr>
          <w:rFonts w:ascii="Times New Roman" w:hAnsi="Times New Roman"/>
          <w:sz w:val="24"/>
          <w:szCs w:val="24"/>
        </w:rPr>
        <w:t>Београд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B70">
        <w:rPr>
          <w:rFonts w:ascii="Times New Roman" w:hAnsi="Times New Roman"/>
          <w:sz w:val="24"/>
          <w:szCs w:val="24"/>
        </w:rPr>
        <w:t>писарница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заједничке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послове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органа</w:t>
      </w:r>
      <w:proofErr w:type="spellEnd"/>
    </w:p>
    <w:p w14:paraId="506EAED3" w14:textId="77777777" w:rsidR="005A330D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 Београд</w:t>
      </w:r>
    </w:p>
    <w:p w14:paraId="6A4D99A6" w14:textId="5A8F2E76" w:rsidR="00BE0B70" w:rsidRPr="00BE0B70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="00BE0B70" w:rsidRPr="00BE0B70">
        <w:rPr>
          <w:rFonts w:ascii="Times New Roman" w:hAnsi="Times New Roman"/>
          <w:sz w:val="24"/>
          <w:szCs w:val="24"/>
        </w:rPr>
        <w:t>.</w:t>
      </w:r>
    </w:p>
    <w:p w14:paraId="3E0C56F0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A7002A9" w14:textId="4681E9CD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дају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складу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процедуром</w:t>
      </w:r>
      <w:proofErr w:type="spellEnd"/>
      <w:r w:rsidR="003401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„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две</w:t>
      </w:r>
      <w:proofErr w:type="spellEnd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коверте</w:t>
      </w:r>
      <w:bookmarkStart w:id="2" w:name="_Hlk526841749"/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”</w:t>
      </w:r>
      <w:bookmarkEnd w:id="2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којој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подносе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заједно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али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одвојеним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ковертама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прве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евалуирају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погледу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саобразности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Потом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само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подобних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3623068E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8BF447B" w14:textId="3FA6D6FC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nl-NL"/>
        </w:rPr>
      </w:pP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>Понуде морају да буду достављене у запечаћеној коверти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са следећим назнакама: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,,Понуда за јавну 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>набавку</w:t>
      </w:r>
      <w:r w:rsidR="00D72DD6">
        <w:rPr>
          <w:rFonts w:ascii="Times New Roman" w:eastAsia="Times New Roman" w:hAnsi="Times New Roman"/>
          <w:sz w:val="24"/>
          <w:szCs w:val="24"/>
          <w:lang w:val="sr-Cyrl-CS" w:eastAsia="nl-NL"/>
        </w:rPr>
        <w:t>: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6F652F">
        <w:rPr>
          <w:rFonts w:ascii="Times New Roman" w:hAnsi="Times New Roman"/>
          <w:b/>
          <w:sz w:val="24"/>
          <w:szCs w:val="24"/>
          <w:lang w:val="ru-RU"/>
        </w:rPr>
        <w:t xml:space="preserve">Електронски факултет (Универзитет у 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 xml:space="preserve">Нишу), Извођење радова на изградњи </w:t>
      </w:r>
      <w:r w:rsidR="002A7761" w:rsidRPr="002A7761">
        <w:rPr>
          <w:rFonts w:ascii="Times New Roman" w:hAnsi="Times New Roman"/>
          <w:b/>
          <w:sz w:val="24"/>
          <w:szCs w:val="24"/>
          <w:lang w:val="ru-RU"/>
        </w:rPr>
        <w:t>вишенаменске ламеле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>,</w:t>
      </w:r>
      <w:r w:rsidR="006F652F" w:rsidRPr="002A7761">
        <w:rPr>
          <w:rFonts w:ascii="Times New Roman" w:hAnsi="Times New Roman"/>
          <w:sz w:val="24"/>
          <w:szCs w:val="24"/>
        </w:rPr>
        <w:t xml:space="preserve"> 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6F652F" w:rsidRPr="002A7761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 xml:space="preserve"> ИОП/15-2018/РД (</w:t>
      </w:r>
      <w:r w:rsidR="006F652F" w:rsidRPr="002A7761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6F652F" w:rsidRPr="002A7761">
        <w:rPr>
          <w:rFonts w:ascii="Times New Roman" w:hAnsi="Times New Roman"/>
          <w:b/>
          <w:sz w:val="24"/>
          <w:szCs w:val="24"/>
          <w:lang w:val="en-US"/>
        </w:rPr>
        <w:t>1</w:t>
      </w:r>
      <w:r w:rsidR="006F652F" w:rsidRPr="002A7761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6F652F" w:rsidRPr="002A7761">
        <w:rPr>
          <w:rFonts w:ascii="Times New Roman" w:hAnsi="Times New Roman"/>
          <w:b/>
          <w:sz w:val="24"/>
          <w:szCs w:val="24"/>
          <w:lang w:val="ru-RU"/>
        </w:rPr>
        <w:t>-2018/</w:t>
      </w:r>
      <w:r w:rsidR="006F652F" w:rsidRPr="002A7761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D53EE3" w:rsidRPr="002A7761">
        <w:rPr>
          <w:rFonts w:ascii="Times New Roman" w:hAnsi="Times New Roman"/>
          <w:sz w:val="24"/>
          <w:szCs w:val="24"/>
          <w:lang w:val="ru-RU"/>
        </w:rPr>
        <w:t>)</w:t>
      </w:r>
      <w:r w:rsidR="002C6657" w:rsidRPr="00BE0B70">
        <w:rPr>
          <w:rFonts w:ascii="Times New Roman" w:eastAsia="Times New Roman" w:hAnsi="Times New Roman"/>
          <w:sz w:val="24"/>
          <w:szCs w:val="24"/>
          <w:lang w:eastAsia="nl-NL"/>
        </w:rPr>
        <w:t>”</w:t>
      </w:r>
      <w:r w:rsidR="00D53EE3" w:rsidRPr="002A77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лично или путем поште на горепоменутој адреси 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најкасније </w:t>
      </w:r>
      <w:r w:rsidR="00D72DD6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до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 </w:t>
      </w:r>
      <w:r w:rsidR="004C07AC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27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. </w:t>
      </w:r>
      <w:r w:rsidR="00D72DD6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новембра</w:t>
      </w:r>
      <w:r w:rsidR="00D53EE3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 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2018. године до 1</w:t>
      </w:r>
      <w:r w:rsidR="00D53EE3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:00 часова.</w:t>
      </w:r>
    </w:p>
    <w:p w14:paraId="5CB32D26" w14:textId="77777777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60D7FE6B" w14:textId="77777777" w:rsidR="007274D5" w:rsidRPr="00E4766D" w:rsidRDefault="007274D5" w:rsidP="007274D5">
      <w:pPr>
        <w:pStyle w:val="NormalWeb"/>
        <w:spacing w:before="0" w:beforeAutospacing="0" w:after="200" w:afterAutospacing="0"/>
        <w:jc w:val="both"/>
        <w:rPr>
          <w:lang w:val="sr-Cyrl-CS"/>
        </w:rPr>
      </w:pPr>
      <w:r w:rsidRPr="00E4766D">
        <w:rPr>
          <w:lang w:val="sr-Cyrl-CS"/>
        </w:rPr>
        <w:t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</w:t>
      </w:r>
    </w:p>
    <w:p w14:paraId="59483320" w14:textId="21CC0180" w:rsidR="00BE0B70" w:rsidRPr="00015B2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Отварање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техничког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дела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понуда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обавити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истога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дана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, </w:t>
      </w:r>
      <w:r w:rsidR="004C07AC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27</w:t>
      </w:r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r w:rsidR="00AA02FB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</w:t>
      </w:r>
      <w:r w:rsidR="00015B2A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а</w:t>
      </w:r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2018. </w:t>
      </w:r>
      <w:proofErr w:type="spellStart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>године</w:t>
      </w:r>
      <w:proofErr w:type="spellEnd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у 13:00 </w:t>
      </w:r>
      <w:proofErr w:type="spellStart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>часова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адреси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ул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Крунска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58,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Београд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присуству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представника оних понуђача који се одлуче да присуствују отварању понуда,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уз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достављено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пуномоћје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за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учешће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поступку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отварања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понуда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14:paraId="41DE2DD0" w14:textId="77777777" w:rsidR="00BE0B70" w:rsidRPr="00035048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3906094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обавиће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извршеног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прегледа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техничког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="00AA1D54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Наручилац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који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поднели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доставити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образложену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Одлуку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о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квалификованости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понуђача</w:t>
      </w:r>
      <w:proofErr w:type="spellEnd"/>
      <w:r w:rsidR="00035048" w:rsidRPr="00035048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финансијских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54D5C357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7B3B593" w14:textId="77777777"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9A17E" w14:textId="77777777"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943266" w14:textId="18E142C2" w:rsidR="00E75D22" w:rsidRPr="00E75D22" w:rsidRDefault="00E75D22" w:rsidP="002A77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349D7" w14:textId="77777777" w:rsidR="00E75D22" w:rsidRPr="00E75D22" w:rsidRDefault="00E75D22" w:rsidP="00E75D22">
      <w:pPr>
        <w:rPr>
          <w:rFonts w:ascii="Times New Roman" w:hAnsi="Times New Roman"/>
          <w:sz w:val="24"/>
          <w:szCs w:val="24"/>
        </w:rPr>
      </w:pPr>
    </w:p>
    <w:p w14:paraId="440F1735" w14:textId="77777777" w:rsidR="00E75D22" w:rsidRPr="00E75D22" w:rsidRDefault="00E75D22" w:rsidP="00E75D22">
      <w:pPr>
        <w:rPr>
          <w:rFonts w:ascii="Times New Roman" w:hAnsi="Times New Roman"/>
          <w:sz w:val="24"/>
          <w:szCs w:val="24"/>
        </w:rPr>
      </w:pPr>
    </w:p>
    <w:p w14:paraId="25391903" w14:textId="11FA25F2" w:rsidR="00AB5550" w:rsidRPr="00E75D22" w:rsidRDefault="00E75D22" w:rsidP="00E75D22">
      <w:pPr>
        <w:tabs>
          <w:tab w:val="left" w:pos="47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5550" w:rsidRPr="00E75D22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C9E7" w14:textId="77777777" w:rsidR="00ED243B" w:rsidRDefault="00ED243B" w:rsidP="00A003C4">
      <w:pPr>
        <w:spacing w:after="0" w:line="240" w:lineRule="auto"/>
      </w:pPr>
      <w:r>
        <w:separator/>
      </w:r>
    </w:p>
  </w:endnote>
  <w:endnote w:type="continuationSeparator" w:id="0">
    <w:p w14:paraId="0CB6A781" w14:textId="77777777" w:rsidR="00ED243B" w:rsidRDefault="00ED243B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160178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6813F6" w14:textId="77777777" w:rsidR="0044408B" w:rsidRPr="00E75D22" w:rsidRDefault="0044408B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Страна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2C7B8" w14:textId="77777777" w:rsidR="0044408B" w:rsidRDefault="0044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7443" w14:textId="77777777" w:rsidR="00ED243B" w:rsidRDefault="00ED243B" w:rsidP="00A003C4">
      <w:pPr>
        <w:spacing w:after="0" w:line="240" w:lineRule="auto"/>
      </w:pPr>
      <w:r>
        <w:separator/>
      </w:r>
    </w:p>
  </w:footnote>
  <w:footnote w:type="continuationSeparator" w:id="0">
    <w:p w14:paraId="63C3E3C2" w14:textId="77777777" w:rsidR="00ED243B" w:rsidRDefault="00ED243B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1213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6F2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0F21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076C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0C19"/>
    <w:rsid w:val="00291859"/>
    <w:rsid w:val="00295BF2"/>
    <w:rsid w:val="002A721E"/>
    <w:rsid w:val="002A7761"/>
    <w:rsid w:val="002B4570"/>
    <w:rsid w:val="002B5CFE"/>
    <w:rsid w:val="002B5E90"/>
    <w:rsid w:val="002B6BD8"/>
    <w:rsid w:val="002B79AD"/>
    <w:rsid w:val="002C4C10"/>
    <w:rsid w:val="002C546F"/>
    <w:rsid w:val="002C6657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661B"/>
    <w:rsid w:val="003200A7"/>
    <w:rsid w:val="00321BA5"/>
    <w:rsid w:val="00336D9E"/>
    <w:rsid w:val="003401E3"/>
    <w:rsid w:val="00342450"/>
    <w:rsid w:val="00351AD0"/>
    <w:rsid w:val="003525A1"/>
    <w:rsid w:val="003607B0"/>
    <w:rsid w:val="00365A76"/>
    <w:rsid w:val="00374385"/>
    <w:rsid w:val="00380ECD"/>
    <w:rsid w:val="00382AB7"/>
    <w:rsid w:val="003917D7"/>
    <w:rsid w:val="00392693"/>
    <w:rsid w:val="0039375C"/>
    <w:rsid w:val="0039378D"/>
    <w:rsid w:val="00393964"/>
    <w:rsid w:val="003A1838"/>
    <w:rsid w:val="003A1BD1"/>
    <w:rsid w:val="003A4727"/>
    <w:rsid w:val="003B030C"/>
    <w:rsid w:val="003B2061"/>
    <w:rsid w:val="003C7495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13008"/>
    <w:rsid w:val="00422494"/>
    <w:rsid w:val="00433B82"/>
    <w:rsid w:val="00436177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4FAC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07AC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EF5"/>
    <w:rsid w:val="00530061"/>
    <w:rsid w:val="00534AE6"/>
    <w:rsid w:val="00534C31"/>
    <w:rsid w:val="0053787C"/>
    <w:rsid w:val="005537E8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30D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E6FD1"/>
    <w:rsid w:val="005E7AAC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4C2C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D6236"/>
    <w:rsid w:val="006E13C5"/>
    <w:rsid w:val="006F22A2"/>
    <w:rsid w:val="006F268C"/>
    <w:rsid w:val="006F652F"/>
    <w:rsid w:val="006F6A85"/>
    <w:rsid w:val="006F751F"/>
    <w:rsid w:val="006F761D"/>
    <w:rsid w:val="00702CC8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39DB"/>
    <w:rsid w:val="00804EFC"/>
    <w:rsid w:val="0081251C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85388"/>
    <w:rsid w:val="00891D45"/>
    <w:rsid w:val="00894D21"/>
    <w:rsid w:val="008A0252"/>
    <w:rsid w:val="008A0C88"/>
    <w:rsid w:val="008A15D5"/>
    <w:rsid w:val="008B178F"/>
    <w:rsid w:val="008B5D5C"/>
    <w:rsid w:val="008C03CB"/>
    <w:rsid w:val="008C0994"/>
    <w:rsid w:val="008C3B13"/>
    <w:rsid w:val="008C7B91"/>
    <w:rsid w:val="008D0984"/>
    <w:rsid w:val="008E0AF8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5179"/>
    <w:rsid w:val="0096567F"/>
    <w:rsid w:val="0097100B"/>
    <w:rsid w:val="009713FD"/>
    <w:rsid w:val="009730C6"/>
    <w:rsid w:val="0098425E"/>
    <w:rsid w:val="00991740"/>
    <w:rsid w:val="00991AE6"/>
    <w:rsid w:val="00994FCE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AA4"/>
    <w:rsid w:val="00A30C89"/>
    <w:rsid w:val="00A42FB6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90436"/>
    <w:rsid w:val="00AA02FB"/>
    <w:rsid w:val="00AA05EE"/>
    <w:rsid w:val="00AA16D4"/>
    <w:rsid w:val="00AA18AD"/>
    <w:rsid w:val="00AA1D54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A49"/>
    <w:rsid w:val="00CA568A"/>
    <w:rsid w:val="00CB6720"/>
    <w:rsid w:val="00CB77D6"/>
    <w:rsid w:val="00CB7B8A"/>
    <w:rsid w:val="00CD3EE3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0BA8"/>
    <w:rsid w:val="00D41B60"/>
    <w:rsid w:val="00D432E7"/>
    <w:rsid w:val="00D457EF"/>
    <w:rsid w:val="00D4716C"/>
    <w:rsid w:val="00D5063C"/>
    <w:rsid w:val="00D51BE0"/>
    <w:rsid w:val="00D53EE3"/>
    <w:rsid w:val="00D57398"/>
    <w:rsid w:val="00D703B5"/>
    <w:rsid w:val="00D72DD6"/>
    <w:rsid w:val="00D7453E"/>
    <w:rsid w:val="00D812BB"/>
    <w:rsid w:val="00D814A9"/>
    <w:rsid w:val="00D871D5"/>
    <w:rsid w:val="00D94E38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0F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4766D"/>
    <w:rsid w:val="00E53C85"/>
    <w:rsid w:val="00E5556E"/>
    <w:rsid w:val="00E60492"/>
    <w:rsid w:val="00E61CAF"/>
    <w:rsid w:val="00E64114"/>
    <w:rsid w:val="00E64924"/>
    <w:rsid w:val="00E65638"/>
    <w:rsid w:val="00E717A4"/>
    <w:rsid w:val="00E748FB"/>
    <w:rsid w:val="00E75D22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6722"/>
    <w:rsid w:val="00EA7E8C"/>
    <w:rsid w:val="00EB1643"/>
    <w:rsid w:val="00EB44B5"/>
    <w:rsid w:val="00EC289C"/>
    <w:rsid w:val="00EC54FB"/>
    <w:rsid w:val="00EC69A1"/>
    <w:rsid w:val="00ED243B"/>
    <w:rsid w:val="00ED487E"/>
    <w:rsid w:val="00EE046B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2AE6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D2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english/public-procur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2018-10-09T07:47:00Z</dcterms:created>
  <dcterms:modified xsi:type="dcterms:W3CDTF">2018-10-09T07:50:00Z</dcterms:modified>
</cp:coreProperties>
</file>