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F7DA" w14:textId="77777777" w:rsidR="00276886" w:rsidRDefault="00276886" w:rsidP="002768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5A30E7" w14:textId="25564733" w:rsidR="00276886" w:rsidRPr="00D17CBB" w:rsidRDefault="00276886" w:rsidP="0027688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17CBB">
        <w:rPr>
          <w:rFonts w:ascii="Times New Roman" w:hAnsi="Times New Roman" w:cs="Times New Roman"/>
          <w:sz w:val="24"/>
          <w:szCs w:val="24"/>
          <w:lang w:val="sr-Cyrl-CS"/>
        </w:rPr>
        <w:t xml:space="preserve">Појашњење </w:t>
      </w:r>
      <w:r w:rsidR="008C1109" w:rsidRPr="00D17CBB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506085" w:rsidRPr="00D17CBB">
        <w:rPr>
          <w:rFonts w:ascii="Times New Roman" w:hAnsi="Times New Roman" w:cs="Times New Roman"/>
          <w:sz w:val="24"/>
          <w:szCs w:val="24"/>
          <w:lang w:val="sr-Cyrl-CS"/>
        </w:rPr>
        <w:t xml:space="preserve">. од </w:t>
      </w:r>
      <w:r w:rsidR="002349FD" w:rsidRPr="00D17CBB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E37580" w:rsidRPr="00D17CBB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506085" w:rsidRPr="00D17CB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2349FD" w:rsidRPr="00D17CBB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506085" w:rsidRPr="00D17CBB">
        <w:rPr>
          <w:rFonts w:ascii="Times New Roman" w:hAnsi="Times New Roman" w:cs="Times New Roman"/>
          <w:sz w:val="24"/>
          <w:szCs w:val="24"/>
          <w:lang w:val="sr-Cyrl-CS"/>
        </w:rPr>
        <w:t>.2020.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120"/>
        <w:gridCol w:w="5935"/>
      </w:tblGrid>
      <w:tr w:rsidR="00276886" w:rsidRPr="00D17CBB" w14:paraId="2E1EEB07" w14:textId="77777777" w:rsidTr="0028166F">
        <w:tc>
          <w:tcPr>
            <w:tcW w:w="12950" w:type="dxa"/>
            <w:gridSpan w:val="3"/>
          </w:tcPr>
          <w:p w14:paraId="1F12C511" w14:textId="77777777" w:rsidR="00276886" w:rsidRPr="00D17CBB" w:rsidRDefault="00276886" w:rsidP="00276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Извођење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реконструкцији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доградњи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пријемно-тријажне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службе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реконструкцији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санацији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адаптацији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постојећих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лифтова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текућем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одржавању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делу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објекта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нефрологије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дијализе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Ургентном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центру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Клиничког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центра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“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број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набавке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ОП/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УХИ</w:t>
            </w:r>
          </w:p>
        </w:tc>
      </w:tr>
      <w:tr w:rsidR="00276886" w:rsidRPr="00D17CBB" w14:paraId="543700BA" w14:textId="77777777" w:rsidTr="00276886">
        <w:tc>
          <w:tcPr>
            <w:tcW w:w="895" w:type="dxa"/>
          </w:tcPr>
          <w:p w14:paraId="732B4933" w14:textId="77777777" w:rsidR="00276886" w:rsidRPr="00D17CBB" w:rsidRDefault="00276886" w:rsidP="0027688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120" w:type="dxa"/>
          </w:tcPr>
          <w:p w14:paraId="5EA42BAD" w14:textId="77777777" w:rsidR="00276886" w:rsidRPr="00D17CBB" w:rsidRDefault="00276886" w:rsidP="0027688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5935" w:type="dxa"/>
          </w:tcPr>
          <w:p w14:paraId="5B2C7951" w14:textId="77777777" w:rsidR="00276886" w:rsidRPr="00D17CBB" w:rsidRDefault="00276886" w:rsidP="0027688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</w:t>
            </w:r>
          </w:p>
        </w:tc>
      </w:tr>
      <w:tr w:rsidR="00276886" w:rsidRPr="00D17CBB" w14:paraId="608701A7" w14:textId="77777777" w:rsidTr="00276886">
        <w:tc>
          <w:tcPr>
            <w:tcW w:w="895" w:type="dxa"/>
          </w:tcPr>
          <w:p w14:paraId="5D23B36A" w14:textId="77777777" w:rsidR="00276886" w:rsidRPr="00D17CBB" w:rsidRDefault="00276886" w:rsidP="0027688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120" w:type="dxa"/>
          </w:tcPr>
          <w:p w14:paraId="3DA6CD2A" w14:textId="77777777" w:rsidR="0028166F" w:rsidRPr="00D17CBB" w:rsidRDefault="0028166F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предмера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предрачуна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лифтове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приказаној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рекапитулацији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предмера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предмер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_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Konstr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LIFT</w:t>
            </w:r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1-9_2019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sheet</w:t>
            </w:r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zbirna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Ukupna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”)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рекапитулацији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наводе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тачком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8.) 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Електроенергетске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допуна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98E10" w14:textId="77777777" w:rsidR="0028166F" w:rsidRPr="00D17CBB" w:rsidRDefault="0028166F" w:rsidP="0028166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D26E" w14:textId="77777777" w:rsidR="008C1109" w:rsidRPr="00D17CBB" w:rsidRDefault="0028166F" w:rsidP="0028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унесе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Електроенергетске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допуна</w:t>
            </w:r>
            <w:proofErr w:type="spellEnd"/>
            <w:r w:rsidR="008C1109"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1109"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49EE7" w14:textId="77777777" w:rsidR="008C1109" w:rsidRPr="00D17CBB" w:rsidRDefault="008C1109" w:rsidP="008C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501F" w14:textId="77777777" w:rsidR="00704463" w:rsidRPr="00D17CBB" w:rsidRDefault="00704463" w:rsidP="008C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2C80" w14:textId="77777777" w:rsidR="002349FD" w:rsidRPr="00D17CBB" w:rsidRDefault="002349FD" w:rsidP="00E2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14:paraId="099B12F4" w14:textId="45F83B2A" w:rsidR="004D1AA4" w:rsidRPr="00D17CBB" w:rsidRDefault="00D82C93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Ова ставка је у наведеном делу унета техничком грешком и представља вишак јер већ постоји у делу 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sheet –a „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Електроенергетске инсталације“.</w:t>
            </w:r>
          </w:p>
          <w:p w14:paraId="5F029AEA" w14:textId="01FDE8FD" w:rsidR="00D82C93" w:rsidRPr="00D17CBB" w:rsidRDefault="00D82C93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  <w:p w14:paraId="424AD8DD" w14:textId="71859FF5" w:rsidR="004D1AA4" w:rsidRPr="00D17CBB" w:rsidRDefault="00D82C93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У прилогу Допуне Конкурсне документације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 xml:space="preserve"> 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бр. 1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од 0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9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.04.2020. године, налази се исправљен Предмер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</w:t>
            </w:r>
          </w:p>
          <w:p w14:paraId="4C6E60D7" w14:textId="77777777" w:rsidR="004D1AA4" w:rsidRPr="00D17CBB" w:rsidRDefault="004D1AA4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  <w:p w14:paraId="4185E7AE" w14:textId="77777777" w:rsidR="004D1AA4" w:rsidRPr="00D17CBB" w:rsidRDefault="004D1AA4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  <w:p w14:paraId="09CCDBDD" w14:textId="77777777" w:rsidR="00704463" w:rsidRPr="00D17CBB" w:rsidRDefault="00704463" w:rsidP="000C15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C719B42" w14:textId="77777777" w:rsidR="00F900ED" w:rsidRPr="00D17CBB" w:rsidRDefault="00F900ED" w:rsidP="000C1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7D5DDCDC" w14:textId="77777777" w:rsidR="00F900ED" w:rsidRPr="00D17CBB" w:rsidRDefault="00F900ED" w:rsidP="000C15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4EED25F" w14:textId="77777777" w:rsidR="00F900ED" w:rsidRPr="00D17CBB" w:rsidRDefault="00F900ED" w:rsidP="000C15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093019" w14:textId="77777777" w:rsidR="00704463" w:rsidRPr="00D17CBB" w:rsidRDefault="00704463" w:rsidP="000C15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37E6D" w:rsidRPr="00D17CBB" w14:paraId="6C36DC2A" w14:textId="77777777" w:rsidTr="00276886">
        <w:tc>
          <w:tcPr>
            <w:tcW w:w="895" w:type="dxa"/>
          </w:tcPr>
          <w:p w14:paraId="4033E808" w14:textId="5A986BD8" w:rsidR="00637E6D" w:rsidRPr="00D17CBB" w:rsidRDefault="00E2746D" w:rsidP="002768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6120" w:type="dxa"/>
          </w:tcPr>
          <w:p w14:paraId="3101F856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иметили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грешке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предмерима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нпр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A0CB7E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ЛИФТОВИ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AB68DB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 PZI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Predmer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 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Termotehnika</w:t>
            </w:r>
            <w:proofErr w:type="spellEnd"/>
            <w:proofErr w:type="gram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Liftovi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UC</w:t>
            </w:r>
          </w:p>
          <w:p w14:paraId="5CE2695B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исправне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припремно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завршне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лифтове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крајњи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лифта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унета</w:t>
            </w:r>
            <w:proofErr w:type="spellEnd"/>
          </w:p>
          <w:p w14:paraId="74F0B30E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6-2 PZI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Predmer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Mas –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Liftovi-Liftovi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UC</w:t>
            </w:r>
          </w:p>
          <w:p w14:paraId="5112089C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збирној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рекапитулацији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</w:p>
          <w:p w14:paraId="3BE1317F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predmer_AG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Konstr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. LIFT 1-9_april</w:t>
            </w:r>
          </w:p>
          <w:p w14:paraId="4934B365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рекапитулацији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Збирна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погрешне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форумуле</w:t>
            </w:r>
            <w:proofErr w:type="spellEnd"/>
          </w:p>
          <w:p w14:paraId="05D316DE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TRIJAŽA </w:t>
            </w:r>
            <w:proofErr w:type="spellStart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>predmer</w:t>
            </w:r>
            <w:proofErr w:type="spellEnd"/>
            <w:r w:rsidRPr="00D1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E20E8B7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рекапитулацији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</w:p>
          <w:p w14:paraId="1F8C7273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збирна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рекапитуалцијиа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лифтови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нефрологија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тријажа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ПРЕДМЕР,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унете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</w:p>
          <w:p w14:paraId="6A0F6191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Навели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грешке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уочили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молим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исправне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предмере</w:t>
            </w:r>
            <w:proofErr w:type="spellEnd"/>
          </w:p>
          <w:p w14:paraId="22595486" w14:textId="77777777" w:rsidR="00637E6D" w:rsidRPr="00D17CBB" w:rsidRDefault="00637E6D" w:rsidP="00637E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14:paraId="207F343C" w14:textId="77777777" w:rsidR="00637E6D" w:rsidRPr="00D17CBB" w:rsidRDefault="00CE6B56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lastRenderedPageBreak/>
              <w:t>У прилогу</w:t>
            </w:r>
            <w:r w:rsidR="00BB41A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="005D587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Д</w:t>
            </w:r>
            <w:r w:rsidR="00BB41A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опун</w:t>
            </w:r>
            <w:r w:rsidR="00546DFE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е</w:t>
            </w:r>
            <w:r w:rsidR="00BB41A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Конкурсне документације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бр. 1</w:t>
            </w:r>
            <w:r w:rsidR="00BB41A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од 0</w:t>
            </w:r>
            <w:r w:rsidR="00820AE5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9</w:t>
            </w:r>
            <w:r w:rsidR="00BB41A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.04.2020. године</w:t>
            </w:r>
            <w:r w:rsidR="00C50F6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, налази се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исправљен </w:t>
            </w:r>
            <w:r w:rsidR="006D6706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Предме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р</w:t>
            </w:r>
            <w:r w:rsidR="00E3758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</w:t>
            </w:r>
          </w:p>
          <w:p w14:paraId="580C5572" w14:textId="79AD0B12" w:rsidR="005B3631" w:rsidRPr="00D17CBB" w:rsidRDefault="005B3631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У </w:t>
            </w:r>
            <w:r w:rsidR="0041653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Збирним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рекапитулациј</w:t>
            </w:r>
            <w:r w:rsidR="0041653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ама по објектима и укупној збирној рекапитулацији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потребно је директно уносити вредности, јер ист</w:t>
            </w:r>
            <w:r w:rsidR="0041653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е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ни</w:t>
            </w:r>
            <w:r w:rsidR="0041653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су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повезан</w:t>
            </w:r>
            <w:r w:rsidR="00416533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е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са појединачним рекапитуалацијама. </w:t>
            </w:r>
          </w:p>
        </w:tc>
      </w:tr>
      <w:tr w:rsidR="00637E6D" w:rsidRPr="00D17CBB" w14:paraId="7A817B31" w14:textId="77777777" w:rsidTr="00276886">
        <w:tc>
          <w:tcPr>
            <w:tcW w:w="895" w:type="dxa"/>
          </w:tcPr>
          <w:p w14:paraId="6CAA17CC" w14:textId="5D89CC41" w:rsidR="00637E6D" w:rsidRPr="00D17CBB" w:rsidRDefault="00E2746D" w:rsidP="002768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6120" w:type="dxa"/>
          </w:tcPr>
          <w:p w14:paraId="5F8408A9" w14:textId="77777777" w:rsidR="00637E6D" w:rsidRPr="00D17CBB" w:rsidRDefault="00E2746D" w:rsidP="00E2746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Молим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техничку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ТС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ТС.</w:t>
            </w:r>
          </w:p>
          <w:p w14:paraId="545FE1FF" w14:textId="36686F56" w:rsidR="00E2746D" w:rsidRPr="00D17CBB" w:rsidRDefault="00E2746D" w:rsidP="00E2746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14:paraId="4A92EB8E" w14:textId="4579824B" w:rsidR="00637E6D" w:rsidRPr="00D17CBB" w:rsidRDefault="00CE6B56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У прилогу</w:t>
            </w:r>
            <w:r w:rsidR="00713528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="005D587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Допун</w:t>
            </w:r>
            <w:r w:rsidR="00546DFE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е</w:t>
            </w:r>
            <w:r w:rsidR="005D587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="00713528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Конкурсне документације</w:t>
            </w:r>
            <w:r w:rsidR="00D624EA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бр. 1</w:t>
            </w:r>
            <w:r w:rsidR="005D587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="00713528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од 0</w:t>
            </w:r>
            <w:r w:rsidR="00D624EA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9</w:t>
            </w:r>
            <w:r w:rsidR="00713528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.04.2020. године</w:t>
            </w:r>
            <w:r w:rsidR="00E30810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,</w:t>
            </w:r>
            <w:r w:rsidR="00713528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налази се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техничка документација за енергетске инсталације</w:t>
            </w:r>
            <w:r w:rsidR="005B3631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-тадови у ТС и радови ван ТС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</w:t>
            </w:r>
          </w:p>
          <w:p w14:paraId="7D6DDB42" w14:textId="7990FEFB" w:rsidR="00713528" w:rsidRPr="00D17CBB" w:rsidRDefault="00713528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</w:tc>
      </w:tr>
      <w:tr w:rsidR="00637E6D" w:rsidRPr="00D17CBB" w14:paraId="1555FB6C" w14:textId="77777777" w:rsidTr="00276886">
        <w:tc>
          <w:tcPr>
            <w:tcW w:w="895" w:type="dxa"/>
          </w:tcPr>
          <w:p w14:paraId="53AAA853" w14:textId="731FFA88" w:rsidR="00637E6D" w:rsidRPr="00D17CBB" w:rsidRDefault="00E2746D" w:rsidP="002768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6120" w:type="dxa"/>
          </w:tcPr>
          <w:p w14:paraId="0910ACED" w14:textId="44F706A1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15.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C6C1E2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E75F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“5)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штету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пружања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планираwу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РС, бр.72/2009 –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УС, 98/2013 –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УС, 132/2014, 145/2014, 83/2018, 31/2019 И 37/2019 –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др.закон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;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даљем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BA11368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Важећа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штету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пружања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4D726C33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BE30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16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661339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5F1A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додатни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штету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пружања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испунити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5BD949C7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2F42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21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51DA42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EE34E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“5.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захтеви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</w:p>
          <w:p w14:paraId="62D2EC31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Изабрани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раднике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уобичајених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пуне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наручиоцу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закључења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оверену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копију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роком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важења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цео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BC113B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Изабрани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закључења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наручиоцу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штету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причињену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стварима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оверену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копију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роком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важења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цео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свему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важећим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EDE0D2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изабрани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уговореног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периодом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15D6B0B5" w14:textId="77777777" w:rsidR="00E274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5B82" w14:textId="6845D01D" w:rsidR="00637E6D" w:rsidRPr="00D17CBB" w:rsidRDefault="00E2746D" w:rsidP="00E2746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доставља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важећу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полису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штету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пружања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треће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35" w:type="dxa"/>
          </w:tcPr>
          <w:p w14:paraId="4B657C4B" w14:textId="27490325" w:rsidR="00E2746D" w:rsidRPr="00D17CBB" w:rsidRDefault="00E2746D" w:rsidP="00E274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lastRenderedPageBreak/>
              <w:t xml:space="preserve">У складу са Конкурсном документацијм, </w:t>
            </w:r>
            <w:bookmarkStart w:id="0" w:name="_Toc33524209"/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Део </w:t>
            </w:r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V. Услови за учешће у поступку јавне набавке из чл.  75. и 76. Закона о јавним набавкама и упутство како се доказује испуњеност тих услова</w:t>
            </w:r>
            <w:bookmarkEnd w:id="0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, тачка 2. Додатни услови -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Доказивање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испуњености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обавезних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додатних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услова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уколико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понуду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подноси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група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понуђача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, под 3) дефинисано је да додатни услов под тачком 5) </w:t>
            </w:r>
            <w:r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sr-Cyrl-CS"/>
              </w:rPr>
              <w:t>мора испунити сваки члан групе понуђача</w:t>
            </w:r>
            <w:r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самостално</w:t>
            </w:r>
            <w:proofErr w:type="spellEnd"/>
            <w:r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sr-Cyrl-CS"/>
              </w:rPr>
              <w:t xml:space="preserve">. </w:t>
            </w:r>
          </w:p>
          <w:p w14:paraId="0F5E35F8" w14:textId="77777777" w:rsidR="00E2746D" w:rsidRPr="00D17CBB" w:rsidRDefault="00E2746D" w:rsidP="00E2746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sr-Cyrl-CS"/>
              </w:rPr>
            </w:pPr>
          </w:p>
          <w:p w14:paraId="2C493413" w14:textId="308C2EBF" w:rsidR="00E2746D" w:rsidRPr="00D17CBB" w:rsidRDefault="00E2746D" w:rsidP="00E274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Наведени услов дефинисан је у складу са </w:t>
            </w:r>
            <w:r w:rsidR="00A0321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Законом о планирању и изградњи (Сл. гласник РС, бр. 72/2009, 81/2009 - испр., 64/2010 - одлука УС, 24/2011, 121/2012, 42/2013 - одлука УС, 50/2013 - одлука УС, 98/2013 - одлука УС, 132/2014, 145/2014, 83/2018, 31/2019 и 37/2019-др. </w:t>
            </w:r>
            <w:r w:rsidR="009D410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З</w:t>
            </w:r>
            <w:r w:rsidR="00A0321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акон</w:t>
            </w:r>
            <w:r w:rsidR="009D410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и 9/2020</w:t>
            </w:r>
            <w:r w:rsidR="00A03214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) и </w:t>
            </w: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Правилником </w:t>
            </w:r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условима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осигурања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професионалне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одговорности</w:t>
            </w:r>
            <w:proofErr w:type="spellEnd"/>
            <w:r w:rsidRPr="00D17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("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гласник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РС", </w:t>
            </w:r>
            <w:proofErr w:type="spellStart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</w:t>
            </w:r>
            <w:proofErr w:type="spellEnd"/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40/2015)</w:t>
            </w:r>
            <w:r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, те као такав мора бити испуњен од стране </w:t>
            </w:r>
            <w:r w:rsidR="00CE6B56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сваког члана групе понуђача који ће изводити радове. </w:t>
            </w:r>
          </w:p>
          <w:p w14:paraId="0F5F9399" w14:textId="77777777" w:rsidR="00E2746D" w:rsidRPr="00D17CBB" w:rsidRDefault="00E2746D" w:rsidP="00E2746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  <w:p w14:paraId="3CAB5E85" w14:textId="77777777" w:rsidR="00637E6D" w:rsidRPr="00D17CBB" w:rsidRDefault="00637E6D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</w:tc>
      </w:tr>
      <w:tr w:rsidR="00086561" w:rsidRPr="00D17CBB" w14:paraId="54665B3F" w14:textId="77777777" w:rsidTr="00276886">
        <w:tc>
          <w:tcPr>
            <w:tcW w:w="895" w:type="dxa"/>
          </w:tcPr>
          <w:p w14:paraId="365743F4" w14:textId="77777777" w:rsidR="00086561" w:rsidRPr="00D17CBB" w:rsidRDefault="00086561" w:rsidP="0027688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7CB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</w:p>
        </w:tc>
        <w:tc>
          <w:tcPr>
            <w:tcW w:w="6120" w:type="dxa"/>
          </w:tcPr>
          <w:p w14:paraId="4CD6AAC7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7DA"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остварен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претходне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обрачунске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(2017, 2018. </w:t>
            </w:r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  2019</w:t>
            </w:r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ећи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500.000.000,00</w:t>
            </w: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петстотина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милиона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2648A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F093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потребни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952D90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D862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бонитету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бонитет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БОН-ЈН)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регистре,који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статусне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сажети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биланс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стања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биланс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обрачунске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показатеље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оцену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бонитета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обрачунске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(2017, 2018. и 2019).”</w:t>
            </w:r>
          </w:p>
          <w:p w14:paraId="41D7172C" w14:textId="77777777" w:rsidR="00B83218" w:rsidRPr="00D17CBB" w:rsidRDefault="00B83218" w:rsidP="00B8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2016. 2017. </w:t>
            </w: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  <w:r w:rsidRPr="00D17C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одину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БОН –ЈН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наведене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пошто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биланс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АПР – у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статистичке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D17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A0B837" w14:textId="77777777" w:rsidR="00086561" w:rsidRPr="00D17CBB" w:rsidRDefault="00086561" w:rsidP="000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14:paraId="77C80FE3" w14:textId="682FD2A6" w:rsidR="00D157DA" w:rsidRPr="00D17CBB" w:rsidRDefault="0046117A" w:rsidP="000C150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lastRenderedPageBreak/>
              <w:t xml:space="preserve">Понуђач </w:t>
            </w:r>
            <w:r w:rsidR="00BA176B" w:rsidRPr="00D17CBB">
              <w:rPr>
                <w:rFonts w:ascii="Times New Roman" w:hAnsi="Times New Roman" w:cs="Times New Roman"/>
                <w:iCs/>
                <w:sz w:val="24"/>
                <w:szCs w:val="24"/>
              </w:rPr>
              <w:t>je</w:t>
            </w:r>
            <w:r w:rsidR="00BA176B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 xml:space="preserve"> </w:t>
            </w:r>
            <w:r w:rsidR="00BA176B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у могућности</w:t>
            </w:r>
            <w:r w:rsidR="00C90E9E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,</w:t>
            </w:r>
            <w:r w:rsidR="00BA176B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="00825B95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да уколико</w:t>
            </w:r>
            <w:r w:rsidR="00825B95" w:rsidRPr="00D17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94469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за 2019. годину Агенцији за привредне регистре није доставио податке потребне за израду Извештаја о бонитету, а имајући у </w:t>
            </w:r>
            <w:r w:rsidR="00694469" w:rsidRPr="00D17C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lastRenderedPageBreak/>
              <w:t xml:space="preserve">виду да је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је</w:t>
            </w:r>
            <w:proofErr w:type="spellEnd"/>
            <w:r w:rsidR="0019431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рок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достављање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редовних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годишњих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финансијских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извештаја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јавно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објављивање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30.6.2020.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године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финансијске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извештаје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2019. </w:t>
            </w:r>
            <w:proofErr w:type="spellStart"/>
            <w:r w:rsidR="0069446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годину</w:t>
            </w:r>
            <w:proofErr w:type="spellEnd"/>
            <w:r w:rsidR="00825B95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94319" w:rsidRPr="00D17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94469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да</w:t>
            </w:r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CS"/>
              </w:rPr>
              <w:t xml:space="preserve"> </w:t>
            </w:r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за </w:t>
            </w:r>
            <w:r w:rsidR="00C90E9E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2019. годину</w:t>
            </w:r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 достави 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Биланс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стања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Биланс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успеха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С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татистички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извештај</w:t>
            </w:r>
            <w:proofErr w:type="spellEnd"/>
            <w:r w:rsidR="00D157DA" w:rsidRPr="00D17C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. </w:t>
            </w:r>
          </w:p>
          <w:p w14:paraId="511665AF" w14:textId="77777777" w:rsidR="00D157DA" w:rsidRPr="00D17CBB" w:rsidRDefault="00D157DA" w:rsidP="000C15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</w:p>
          <w:p w14:paraId="6347CBE7" w14:textId="77777777" w:rsidR="00825B95" w:rsidRPr="00D17CBB" w:rsidRDefault="00825B95" w:rsidP="000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</w:pPr>
          </w:p>
        </w:tc>
      </w:tr>
    </w:tbl>
    <w:p w14:paraId="75C7632A" w14:textId="77777777" w:rsidR="00276886" w:rsidRPr="00D17CBB" w:rsidRDefault="00276886" w:rsidP="002768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3435F2" w14:textId="77777777" w:rsidR="00506085" w:rsidRPr="00D17CBB" w:rsidRDefault="00506085" w:rsidP="002768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067023" w14:textId="77777777" w:rsidR="00506085" w:rsidRPr="00276886" w:rsidRDefault="00506085" w:rsidP="0027688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7CBB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за јавну набавку</w:t>
      </w:r>
      <w:bookmarkStart w:id="1" w:name="_GoBack"/>
      <w:bookmarkEnd w:id="1"/>
    </w:p>
    <w:sectPr w:rsidR="00506085" w:rsidRPr="00276886" w:rsidSect="00276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3D02" w14:textId="77777777" w:rsidR="00366B41" w:rsidRDefault="00366B41" w:rsidP="00276886">
      <w:pPr>
        <w:spacing w:after="0" w:line="240" w:lineRule="auto"/>
      </w:pPr>
      <w:r>
        <w:separator/>
      </w:r>
    </w:p>
  </w:endnote>
  <w:endnote w:type="continuationSeparator" w:id="0">
    <w:p w14:paraId="5E0DA3DF" w14:textId="77777777" w:rsidR="00366B41" w:rsidRDefault="00366B41" w:rsidP="0027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B741" w14:textId="77777777" w:rsidR="00B83218" w:rsidRDefault="00B83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0FDA" w14:textId="77777777" w:rsidR="00B83218" w:rsidRDefault="00B83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1C76" w14:textId="77777777" w:rsidR="00B83218" w:rsidRDefault="00B83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A3F9" w14:textId="77777777" w:rsidR="00366B41" w:rsidRDefault="00366B41" w:rsidP="00276886">
      <w:pPr>
        <w:spacing w:after="0" w:line="240" w:lineRule="auto"/>
      </w:pPr>
      <w:r>
        <w:separator/>
      </w:r>
    </w:p>
  </w:footnote>
  <w:footnote w:type="continuationSeparator" w:id="0">
    <w:p w14:paraId="5D0FE77E" w14:textId="77777777" w:rsidR="00366B41" w:rsidRDefault="00366B41" w:rsidP="0027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6502" w14:textId="77777777" w:rsidR="00B83218" w:rsidRDefault="00B83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D2DC" w14:textId="77777777" w:rsidR="00B83218" w:rsidRPr="00276886" w:rsidRDefault="00B83218" w:rsidP="00276886">
    <w:pPr>
      <w:pStyle w:val="Header"/>
      <w:jc w:val="center"/>
      <w:rPr>
        <w:rFonts w:ascii="Times New Roman" w:hAnsi="Times New Roman" w:cs="Times New Roman"/>
        <w:lang w:val="sr-Cyrl-CS"/>
      </w:rPr>
    </w:pPr>
    <w:r>
      <w:rPr>
        <w:lang w:val="sr-Cyrl-CS"/>
      </w:rPr>
      <w:tab/>
    </w:r>
    <w:r w:rsidRPr="00276886">
      <w:rPr>
        <w:rFonts w:ascii="Times New Roman" w:hAnsi="Times New Roman" w:cs="Times New Roman"/>
        <w:lang w:val="sr-Cyrl-CS"/>
      </w:rPr>
      <w:t xml:space="preserve">                                                            Канцеларија за управ</w:t>
    </w:r>
    <w:r>
      <w:rPr>
        <w:rFonts w:ascii="Times New Roman" w:hAnsi="Times New Roman" w:cs="Times New Roman"/>
        <w:lang w:val="sr-Cyrl-CS"/>
      </w:rPr>
      <w:t>љ</w:t>
    </w:r>
    <w:r w:rsidRPr="00276886">
      <w:rPr>
        <w:rFonts w:ascii="Times New Roman" w:hAnsi="Times New Roman" w:cs="Times New Roman"/>
        <w:lang w:val="sr-Cyrl-CS"/>
      </w:rPr>
      <w:t>а</w:t>
    </w:r>
    <w:r>
      <w:rPr>
        <w:rFonts w:ascii="Times New Roman" w:hAnsi="Times New Roman" w:cs="Times New Roman"/>
        <w:lang w:val="sr-Cyrl-CS"/>
      </w:rPr>
      <w:t>њ</w:t>
    </w:r>
    <w:r w:rsidRPr="00276886">
      <w:rPr>
        <w:rFonts w:ascii="Times New Roman" w:hAnsi="Times New Roman" w:cs="Times New Roman"/>
        <w:lang w:val="sr-Cyrl-CS"/>
      </w:rPr>
      <w:t xml:space="preserve">е јавним улагањима </w:t>
    </w:r>
    <w:r w:rsidRPr="00276886">
      <w:rPr>
        <w:rFonts w:ascii="Times New Roman" w:hAnsi="Times New Roman" w:cs="Times New Roman"/>
        <w:lang w:val="sr-Cyrl-CS"/>
      </w:rPr>
      <w:tab/>
    </w:r>
    <w:r w:rsidRPr="00276886">
      <w:rPr>
        <w:rFonts w:ascii="Times New Roman" w:hAnsi="Times New Roman" w:cs="Times New Roman"/>
        <w:lang w:val="sr-Cyrl-CS"/>
      </w:rPr>
      <w:tab/>
    </w:r>
    <w:r w:rsidRPr="00276886">
      <w:rPr>
        <w:rFonts w:ascii="Times New Roman" w:hAnsi="Times New Roman" w:cs="Times New Roman"/>
        <w:lang w:val="sr-Cyrl-CS"/>
      </w:rPr>
      <w:tab/>
      <w:t>ОП/46-2020/УХИ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29F0" w14:textId="77777777" w:rsidR="00B83218" w:rsidRDefault="00B83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6A34"/>
    <w:multiLevelType w:val="hybridMultilevel"/>
    <w:tmpl w:val="DD72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56E5"/>
    <w:multiLevelType w:val="hybridMultilevel"/>
    <w:tmpl w:val="F5A8DD42"/>
    <w:lvl w:ilvl="0" w:tplc="66ECDA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6"/>
    <w:rsid w:val="00086561"/>
    <w:rsid w:val="000C150E"/>
    <w:rsid w:val="00194319"/>
    <w:rsid w:val="001B2B4F"/>
    <w:rsid w:val="001C3282"/>
    <w:rsid w:val="002349FD"/>
    <w:rsid w:val="00276886"/>
    <w:rsid w:val="0028166F"/>
    <w:rsid w:val="00286D54"/>
    <w:rsid w:val="002A1B21"/>
    <w:rsid w:val="002E771D"/>
    <w:rsid w:val="00336C84"/>
    <w:rsid w:val="00366B41"/>
    <w:rsid w:val="003E1B90"/>
    <w:rsid w:val="00416533"/>
    <w:rsid w:val="00420E0F"/>
    <w:rsid w:val="004527D8"/>
    <w:rsid w:val="0046117A"/>
    <w:rsid w:val="004D1AA4"/>
    <w:rsid w:val="004E47CA"/>
    <w:rsid w:val="004F6479"/>
    <w:rsid w:val="00506085"/>
    <w:rsid w:val="00546DFE"/>
    <w:rsid w:val="00566624"/>
    <w:rsid w:val="005B3631"/>
    <w:rsid w:val="005C75E7"/>
    <w:rsid w:val="005D5870"/>
    <w:rsid w:val="005E05ED"/>
    <w:rsid w:val="00620BEA"/>
    <w:rsid w:val="00631E55"/>
    <w:rsid w:val="00637E6D"/>
    <w:rsid w:val="00694469"/>
    <w:rsid w:val="006B62F2"/>
    <w:rsid w:val="006D6706"/>
    <w:rsid w:val="00704463"/>
    <w:rsid w:val="00713528"/>
    <w:rsid w:val="00793394"/>
    <w:rsid w:val="007D2DCF"/>
    <w:rsid w:val="007F170A"/>
    <w:rsid w:val="00807BAB"/>
    <w:rsid w:val="00820AE5"/>
    <w:rsid w:val="00825B95"/>
    <w:rsid w:val="008C1109"/>
    <w:rsid w:val="009D4104"/>
    <w:rsid w:val="009E4595"/>
    <w:rsid w:val="00A03214"/>
    <w:rsid w:val="00A63809"/>
    <w:rsid w:val="00B55044"/>
    <w:rsid w:val="00B83218"/>
    <w:rsid w:val="00BA176B"/>
    <w:rsid w:val="00BB0147"/>
    <w:rsid w:val="00BB41A3"/>
    <w:rsid w:val="00C33FE2"/>
    <w:rsid w:val="00C50F64"/>
    <w:rsid w:val="00C75368"/>
    <w:rsid w:val="00C90E9E"/>
    <w:rsid w:val="00CA7E33"/>
    <w:rsid w:val="00CE6B56"/>
    <w:rsid w:val="00D157DA"/>
    <w:rsid w:val="00D17CBB"/>
    <w:rsid w:val="00D24E56"/>
    <w:rsid w:val="00D44F68"/>
    <w:rsid w:val="00D624EA"/>
    <w:rsid w:val="00D733D5"/>
    <w:rsid w:val="00D82C93"/>
    <w:rsid w:val="00D902A1"/>
    <w:rsid w:val="00D93CFE"/>
    <w:rsid w:val="00E2746D"/>
    <w:rsid w:val="00E30810"/>
    <w:rsid w:val="00E37580"/>
    <w:rsid w:val="00EF59FA"/>
    <w:rsid w:val="00F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C691"/>
  <w15:chartTrackingRefBased/>
  <w15:docId w15:val="{CCBCE515-9FAC-4889-92F7-74E6CA5C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886"/>
  </w:style>
  <w:style w:type="paragraph" w:styleId="Footer">
    <w:name w:val="footer"/>
    <w:basedOn w:val="Normal"/>
    <w:link w:val="FooterChar"/>
    <w:uiPriority w:val="99"/>
    <w:unhideWhenUsed/>
    <w:rsid w:val="0027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886"/>
  </w:style>
  <w:style w:type="character" w:customStyle="1" w:styleId="Heading2Char">
    <w:name w:val="Heading 2 Char"/>
    <w:basedOn w:val="DefaultParagraphFont"/>
    <w:link w:val="Heading2"/>
    <w:uiPriority w:val="9"/>
    <w:semiHidden/>
    <w:rsid w:val="00F90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6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27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58A9-02E9-42FC-BF14-6926E78B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Kasapović</dc:creator>
  <cp:keywords/>
  <dc:description/>
  <cp:lastModifiedBy>Dijana Kasapović</cp:lastModifiedBy>
  <cp:revision>2</cp:revision>
  <dcterms:created xsi:type="dcterms:W3CDTF">2020-04-09T09:32:00Z</dcterms:created>
  <dcterms:modified xsi:type="dcterms:W3CDTF">2020-04-09T09:32:00Z</dcterms:modified>
</cp:coreProperties>
</file>