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FAFF7" w14:textId="577C45FC" w:rsidR="007C3067" w:rsidRPr="00AC2AB6" w:rsidRDefault="007C3067" w:rsidP="007200F1">
      <w:pPr>
        <w:spacing w:line="276" w:lineRule="auto"/>
        <w:jc w:val="both"/>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0</w:t>
      </w:r>
      <w:r w:rsidR="00334EE2" w:rsidRPr="00AC2AB6">
        <w:rPr>
          <w:rFonts w:ascii="Times New Roman" w:eastAsia="Times New Roman" w:hAnsi="Times New Roman" w:cs="Times New Roman"/>
          <w:sz w:val="24"/>
          <w:szCs w:val="24"/>
          <w:lang w:val="sr-Cyrl-RS"/>
        </w:rPr>
        <w:t>6</w:t>
      </w:r>
      <w:r w:rsidRPr="00AC2AB6">
        <w:rPr>
          <w:rFonts w:ascii="Times New Roman" w:eastAsia="Times New Roman" w:hAnsi="Times New Roman" w:cs="Times New Roman"/>
          <w:sz w:val="24"/>
          <w:szCs w:val="24"/>
          <w:lang w:val="sr-Cyrl-RS"/>
        </w:rPr>
        <w:t>.08.2019.</w:t>
      </w:r>
    </w:p>
    <w:p w14:paraId="29D40691" w14:textId="43F2688D" w:rsidR="0086398B" w:rsidRPr="00AC2AB6" w:rsidRDefault="007C3067" w:rsidP="00AB559A">
      <w:pPr>
        <w:spacing w:line="276" w:lineRule="auto"/>
        <w:jc w:val="both"/>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 xml:space="preserve">На основу Програма промоције предузетништва и самозапошљавања, усвојен </w:t>
      </w:r>
      <w:r w:rsidR="0086398B" w:rsidRPr="00AC2AB6">
        <w:rPr>
          <w:rFonts w:ascii="Times New Roman" w:eastAsia="Times New Roman" w:hAnsi="Times New Roman" w:cs="Times New Roman"/>
          <w:sz w:val="24"/>
          <w:szCs w:val="24"/>
          <w:lang w:val="sr-Cyrl-RS"/>
        </w:rPr>
        <w:t>Закључк</w:t>
      </w:r>
      <w:r w:rsidRPr="00AC2AB6">
        <w:rPr>
          <w:rFonts w:ascii="Times New Roman" w:eastAsia="Times New Roman" w:hAnsi="Times New Roman" w:cs="Times New Roman"/>
          <w:sz w:val="24"/>
          <w:szCs w:val="24"/>
          <w:lang w:val="sr-Cyrl-RS"/>
        </w:rPr>
        <w:t xml:space="preserve">ом </w:t>
      </w:r>
      <w:r w:rsidR="00D016D9" w:rsidRPr="00AC2AB6">
        <w:rPr>
          <w:rFonts w:ascii="Times New Roman" w:eastAsia="Times New Roman" w:hAnsi="Times New Roman" w:cs="Times New Roman"/>
          <w:sz w:val="24"/>
          <w:szCs w:val="24"/>
          <w:lang w:val="sr-Cyrl-RS"/>
        </w:rPr>
        <w:t xml:space="preserve">Владе </w:t>
      </w:r>
      <w:r w:rsidR="007200F1" w:rsidRPr="00AC2AB6">
        <w:rPr>
          <w:rFonts w:ascii="Times New Roman" w:eastAsia="Times New Roman" w:hAnsi="Times New Roman" w:cs="Times New Roman"/>
          <w:sz w:val="24"/>
          <w:szCs w:val="24"/>
          <w:lang w:val="sr-Cyrl-RS"/>
        </w:rPr>
        <w:t>05 Број: 401-7329/2019 од 18.07.2019. године</w:t>
      </w:r>
      <w:r w:rsidRPr="00AC2AB6">
        <w:rPr>
          <w:rFonts w:ascii="Times New Roman" w:eastAsia="Times New Roman" w:hAnsi="Times New Roman" w:cs="Times New Roman"/>
          <w:sz w:val="24"/>
          <w:szCs w:val="24"/>
          <w:lang w:val="sr-Cyrl-RS"/>
        </w:rPr>
        <w:t>,</w:t>
      </w:r>
    </w:p>
    <w:p w14:paraId="7DA0932D" w14:textId="143B251A" w:rsidR="00F36F9B" w:rsidRPr="00AC2AB6" w:rsidRDefault="00F36F9B" w:rsidP="0086398B">
      <w:pPr>
        <w:jc w:val="center"/>
        <w:rPr>
          <w:rFonts w:ascii="Times New Roman" w:eastAsia="Times New Roman" w:hAnsi="Times New Roman" w:cs="Times New Roman"/>
          <w:sz w:val="24"/>
          <w:szCs w:val="24"/>
          <w:lang w:val="sr-Cyrl-RS"/>
        </w:rPr>
      </w:pPr>
      <w:r w:rsidRPr="00AC2AB6">
        <w:rPr>
          <w:rFonts w:ascii="Times New Roman" w:hAnsi="Times New Roman" w:cs="Times New Roman"/>
          <w:noProof/>
          <w:sz w:val="24"/>
          <w:szCs w:val="24"/>
          <w:lang w:val="sr-Cyrl-RS" w:eastAsia="sr-Latn-RS"/>
        </w:rPr>
        <w:drawing>
          <wp:inline distT="0" distB="0" distL="0" distR="0" wp14:anchorId="3C0B24BF" wp14:editId="128D861C">
            <wp:extent cx="603250" cy="9023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3250" cy="902335"/>
                    </a:xfrm>
                    <a:prstGeom prst="rect">
                      <a:avLst/>
                    </a:prstGeom>
                    <a:noFill/>
                  </pic:spPr>
                </pic:pic>
              </a:graphicData>
            </a:graphic>
          </wp:inline>
        </w:drawing>
      </w:r>
    </w:p>
    <w:p w14:paraId="71C5DCAD" w14:textId="79B6374A" w:rsidR="00723B14" w:rsidRPr="00AC2AB6" w:rsidRDefault="00723B14" w:rsidP="00F36F9B">
      <w:pPr>
        <w:spacing w:after="0"/>
        <w:jc w:val="center"/>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РЕПУБЛИК</w:t>
      </w:r>
      <w:r w:rsidR="00F36F9B" w:rsidRPr="00AC2AB6">
        <w:rPr>
          <w:rFonts w:ascii="Times New Roman" w:eastAsia="Times New Roman" w:hAnsi="Times New Roman" w:cs="Times New Roman"/>
          <w:sz w:val="24"/>
          <w:szCs w:val="24"/>
          <w:lang w:val="sr-Cyrl-RS"/>
        </w:rPr>
        <w:t>A</w:t>
      </w:r>
      <w:r w:rsidRPr="00AC2AB6">
        <w:rPr>
          <w:rFonts w:ascii="Times New Roman" w:eastAsia="Times New Roman" w:hAnsi="Times New Roman" w:cs="Times New Roman"/>
          <w:sz w:val="24"/>
          <w:szCs w:val="24"/>
          <w:lang w:val="sr-Cyrl-RS"/>
        </w:rPr>
        <w:t xml:space="preserve"> СРБИЈ</w:t>
      </w:r>
      <w:r w:rsidR="00F36F9B" w:rsidRPr="00AC2AB6">
        <w:rPr>
          <w:rFonts w:ascii="Times New Roman" w:eastAsia="Times New Roman" w:hAnsi="Times New Roman" w:cs="Times New Roman"/>
          <w:sz w:val="24"/>
          <w:szCs w:val="24"/>
          <w:lang w:val="sr-Cyrl-RS"/>
        </w:rPr>
        <w:t>A</w:t>
      </w:r>
    </w:p>
    <w:p w14:paraId="5E74135B" w14:textId="1EF9107C" w:rsidR="00F36F9B" w:rsidRPr="00AC2AB6" w:rsidRDefault="00F36F9B" w:rsidP="00F36F9B">
      <w:pPr>
        <w:spacing w:after="0"/>
        <w:jc w:val="center"/>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ВЛАДА</w:t>
      </w:r>
    </w:p>
    <w:p w14:paraId="4EAFC62B" w14:textId="77777777" w:rsidR="0086398B" w:rsidRPr="00AC2AB6" w:rsidRDefault="00723B14" w:rsidP="00F36F9B">
      <w:pPr>
        <w:spacing w:after="0"/>
        <w:jc w:val="center"/>
        <w:rPr>
          <w:rFonts w:ascii="Times New Roman" w:eastAsia="Times New Roman" w:hAnsi="Times New Roman" w:cs="Times New Roman"/>
          <w:b/>
          <w:bCs/>
          <w:sz w:val="24"/>
          <w:szCs w:val="24"/>
          <w:lang w:val="sr-Cyrl-RS"/>
        </w:rPr>
      </w:pPr>
      <w:r w:rsidRPr="00AC2AB6">
        <w:rPr>
          <w:rFonts w:ascii="Times New Roman" w:eastAsia="Times New Roman" w:hAnsi="Times New Roman" w:cs="Times New Roman"/>
          <w:b/>
          <w:bCs/>
          <w:sz w:val="24"/>
          <w:szCs w:val="24"/>
          <w:lang w:val="sr-Cyrl-RS"/>
        </w:rPr>
        <w:t>КАНЦЕЛАРИЈА ЗА УПРАВЉАЊЕ ЈАВНИМ УЛАГАЊИМА</w:t>
      </w:r>
    </w:p>
    <w:p w14:paraId="48523A0F" w14:textId="77777777" w:rsidR="0086398B" w:rsidRPr="00AC2AB6" w:rsidRDefault="0086398B" w:rsidP="0086398B">
      <w:pPr>
        <w:jc w:val="center"/>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расписује</w:t>
      </w:r>
    </w:p>
    <w:p w14:paraId="158A3482" w14:textId="77777777" w:rsidR="0086398B" w:rsidRPr="00AC2AB6" w:rsidRDefault="0086398B" w:rsidP="0086398B">
      <w:pPr>
        <w:jc w:val="center"/>
        <w:rPr>
          <w:rFonts w:ascii="Times New Roman" w:eastAsia="Times New Roman" w:hAnsi="Times New Roman" w:cs="Times New Roman"/>
          <w:b/>
          <w:bCs/>
          <w:sz w:val="24"/>
          <w:szCs w:val="24"/>
          <w:lang w:val="sr-Cyrl-RS"/>
        </w:rPr>
      </w:pPr>
      <w:r w:rsidRPr="00AC2AB6">
        <w:rPr>
          <w:rFonts w:ascii="Times New Roman" w:eastAsia="Times New Roman" w:hAnsi="Times New Roman" w:cs="Times New Roman"/>
          <w:b/>
          <w:bCs/>
          <w:sz w:val="24"/>
          <w:szCs w:val="24"/>
          <w:lang w:val="sr-Cyrl-RS"/>
        </w:rPr>
        <w:t>ЈАВНИ ПОЗИВ</w:t>
      </w:r>
    </w:p>
    <w:p w14:paraId="720D17A5" w14:textId="77777777" w:rsidR="0086398B" w:rsidRPr="00AC2AB6" w:rsidRDefault="00723B14" w:rsidP="0086398B">
      <w:pPr>
        <w:jc w:val="center"/>
        <w:rPr>
          <w:rFonts w:ascii="Times New Roman" w:eastAsia="Times New Roman" w:hAnsi="Times New Roman" w:cs="Times New Roman"/>
          <w:b/>
          <w:bCs/>
          <w:sz w:val="24"/>
          <w:szCs w:val="24"/>
          <w:lang w:val="sr-Cyrl-RS"/>
        </w:rPr>
      </w:pPr>
      <w:r w:rsidRPr="00AC2AB6">
        <w:rPr>
          <w:rFonts w:ascii="Times New Roman" w:hAnsi="Times New Roman" w:cs="Times New Roman"/>
          <w:b/>
          <w:bCs/>
          <w:sz w:val="24"/>
          <w:szCs w:val="24"/>
          <w:lang w:val="sr-Cyrl-RS"/>
        </w:rPr>
        <w:t>ЗА УЧЕШЋЕ  ПОСЛОВНИХ БАНАКА У РЕАЛИЗАЦИЈИ ПРОГРАМА</w:t>
      </w:r>
      <w:r w:rsidRPr="00AC2AB6">
        <w:rPr>
          <w:rFonts w:ascii="Times New Roman" w:eastAsia="Times New Roman" w:hAnsi="Times New Roman" w:cs="Times New Roman"/>
          <w:b/>
          <w:bCs/>
          <w:sz w:val="24"/>
          <w:szCs w:val="24"/>
          <w:lang w:val="sr-Cyrl-RS"/>
        </w:rPr>
        <w:t xml:space="preserve"> ПРОМОЦИЈЕ ПРЕДУЗЕТНИШТВА И САМОЗАПОШЉАВАЊА </w:t>
      </w:r>
    </w:p>
    <w:p w14:paraId="7B510C86" w14:textId="77777777" w:rsidR="00723B14" w:rsidRPr="00AC2AB6" w:rsidRDefault="00723B14" w:rsidP="0086398B">
      <w:pPr>
        <w:rPr>
          <w:rFonts w:ascii="Times New Roman" w:eastAsia="Times New Roman" w:hAnsi="Times New Roman" w:cs="Times New Roman"/>
          <w:sz w:val="24"/>
          <w:szCs w:val="24"/>
          <w:lang w:val="sr-Cyrl-RS"/>
        </w:rPr>
      </w:pPr>
    </w:p>
    <w:p w14:paraId="6F5A6CFC" w14:textId="19B96801" w:rsidR="0086398B" w:rsidRPr="00AC2AB6" w:rsidRDefault="0086398B" w:rsidP="00723B14">
      <w:pPr>
        <w:jc w:val="both"/>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 xml:space="preserve">Програм </w:t>
      </w:r>
      <w:r w:rsidR="00723B14" w:rsidRPr="00AC2AB6">
        <w:rPr>
          <w:rFonts w:ascii="Times New Roman" w:eastAsia="Times New Roman" w:hAnsi="Times New Roman" w:cs="Times New Roman"/>
          <w:sz w:val="24"/>
          <w:szCs w:val="24"/>
          <w:lang w:val="sr-Cyrl-RS"/>
        </w:rPr>
        <w:t xml:space="preserve">промоције предузетништва и самозапошљавања </w:t>
      </w:r>
      <w:r w:rsidRPr="00AC2AB6">
        <w:rPr>
          <w:rFonts w:ascii="Times New Roman" w:eastAsia="Times New Roman" w:hAnsi="Times New Roman" w:cs="Times New Roman"/>
          <w:sz w:val="24"/>
          <w:szCs w:val="24"/>
          <w:lang w:val="sr-Cyrl-RS"/>
        </w:rPr>
        <w:t xml:space="preserve">(у даљем тексту: Програм) спроводи </w:t>
      </w:r>
      <w:r w:rsidR="00723B14" w:rsidRPr="00AC2AB6">
        <w:rPr>
          <w:rFonts w:ascii="Times New Roman" w:eastAsia="Times New Roman" w:hAnsi="Times New Roman" w:cs="Times New Roman"/>
          <w:sz w:val="24"/>
          <w:szCs w:val="24"/>
          <w:lang w:val="sr-Cyrl-RS"/>
        </w:rPr>
        <w:t>Канцеларија за управљање јавним улагањима (у даљем тексту: Канцеларија) у сарадњи са Фондом за развој Републике Србије (у даљем тексту: Фонд) и уз стручну подршку КFW-a.</w:t>
      </w:r>
    </w:p>
    <w:p w14:paraId="7B13E692" w14:textId="0708FD02" w:rsidR="00723B14" w:rsidRPr="00AC2AB6" w:rsidRDefault="00723B14" w:rsidP="00723B14">
      <w:pPr>
        <w:tabs>
          <w:tab w:val="left" w:pos="709"/>
        </w:tabs>
        <w:jc w:val="both"/>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Укупно расположива средства за реализацију овог програма су 300.000.000,00 динара. Од наведених средстава, 250.000.000,00 динара намењено је за спровођење Програма, док је износ</w:t>
      </w:r>
      <w:r w:rsidR="00AC2AB6" w:rsidRPr="00AC2AB6">
        <w:rPr>
          <w:rFonts w:ascii="Times New Roman" w:eastAsia="Times New Roman" w:hAnsi="Times New Roman" w:cs="Times New Roman"/>
          <w:sz w:val="24"/>
          <w:szCs w:val="24"/>
          <w:lang w:val="sr-Cyrl-RS"/>
        </w:rPr>
        <w:t xml:space="preserve"> </w:t>
      </w:r>
      <w:r w:rsidRPr="00AC2AB6">
        <w:rPr>
          <w:rFonts w:ascii="Times New Roman" w:eastAsia="Times New Roman" w:hAnsi="Times New Roman" w:cs="Times New Roman"/>
          <w:sz w:val="24"/>
          <w:szCs w:val="24"/>
          <w:lang w:val="sr-Cyrl-RS"/>
        </w:rPr>
        <w:t xml:space="preserve">од 50.000.000,00 динара намењен за трошкове ангажовања Имплементационог партнера и спровођење програма обуке и менторинга. </w:t>
      </w:r>
    </w:p>
    <w:p w14:paraId="7F1B650A" w14:textId="41D5CF88" w:rsidR="007C3067" w:rsidRPr="00AC2AB6" w:rsidRDefault="007C3067" w:rsidP="00723B14">
      <w:pPr>
        <w:tabs>
          <w:tab w:val="left" w:pos="709"/>
        </w:tabs>
        <w:jc w:val="both"/>
        <w:rPr>
          <w:rFonts w:ascii="Times New Roman" w:eastAsia="Times New Roman" w:hAnsi="Times New Roman" w:cs="Times New Roman"/>
          <w:b/>
          <w:bCs/>
          <w:sz w:val="24"/>
          <w:szCs w:val="24"/>
          <w:lang w:val="sr-Cyrl-RS"/>
        </w:rPr>
      </w:pPr>
      <w:r w:rsidRPr="00AC2AB6">
        <w:rPr>
          <w:rFonts w:ascii="Times New Roman" w:eastAsia="Times New Roman" w:hAnsi="Times New Roman" w:cs="Times New Roman"/>
          <w:b/>
          <w:bCs/>
          <w:sz w:val="24"/>
          <w:szCs w:val="24"/>
          <w:lang w:val="sr-Cyrl-RS"/>
        </w:rPr>
        <w:t>Овим путем Канцеларија позива све заинтересоване банке да се пријаве за учешће у реализацији Програма.</w:t>
      </w:r>
    </w:p>
    <w:p w14:paraId="458165F3" w14:textId="77777777" w:rsidR="00723B14" w:rsidRPr="00AC2AB6" w:rsidRDefault="0086398B" w:rsidP="00723B14">
      <w:pPr>
        <w:jc w:val="both"/>
        <w:rPr>
          <w:rFonts w:ascii="Times New Roman" w:hAnsi="Times New Roman" w:cs="Times New Roman"/>
          <w:sz w:val="24"/>
          <w:szCs w:val="24"/>
          <w:lang w:val="sr-Cyrl-RS"/>
        </w:rPr>
      </w:pPr>
      <w:r w:rsidRPr="00AC2AB6">
        <w:rPr>
          <w:rFonts w:ascii="Times New Roman" w:eastAsia="Times New Roman" w:hAnsi="Times New Roman" w:cs="Times New Roman"/>
          <w:b/>
          <w:bCs/>
          <w:sz w:val="24"/>
          <w:szCs w:val="24"/>
          <w:lang w:val="sr-Cyrl-RS"/>
        </w:rPr>
        <w:t>Општи циљ Програма</w:t>
      </w:r>
      <w:r w:rsidRPr="00AC2AB6">
        <w:rPr>
          <w:rFonts w:ascii="Times New Roman" w:eastAsia="Times New Roman" w:hAnsi="Times New Roman" w:cs="Times New Roman"/>
          <w:sz w:val="24"/>
          <w:szCs w:val="24"/>
          <w:lang w:val="sr-Cyrl-RS"/>
        </w:rPr>
        <w:t xml:space="preserve"> је</w:t>
      </w:r>
      <w:r w:rsidR="00723B14" w:rsidRPr="00AC2AB6">
        <w:rPr>
          <w:rFonts w:ascii="Times New Roman" w:eastAsia="Times New Roman" w:hAnsi="Times New Roman" w:cs="Times New Roman"/>
          <w:sz w:val="24"/>
          <w:szCs w:val="24"/>
          <w:lang w:val="sr-Cyrl-RS"/>
        </w:rPr>
        <w:t>сте подстицај развоја предузетништва кроз обједињену подршку за оснивање нових привредних субјеката. На тај начин би се створили услови за креирање одрживог раста и запошљавања.</w:t>
      </w:r>
    </w:p>
    <w:p w14:paraId="1030FF4F" w14:textId="77777777" w:rsidR="00723B14" w:rsidRPr="00AC2AB6" w:rsidRDefault="00723B14" w:rsidP="00723B14">
      <w:pPr>
        <w:jc w:val="both"/>
        <w:rPr>
          <w:rFonts w:ascii="Times New Roman" w:eastAsia="Times New Roman" w:hAnsi="Times New Roman" w:cs="Times New Roman"/>
          <w:sz w:val="24"/>
          <w:szCs w:val="24"/>
          <w:lang w:val="sr-Cyrl-RS"/>
        </w:rPr>
      </w:pPr>
      <w:r w:rsidRPr="00AC2AB6">
        <w:rPr>
          <w:rFonts w:ascii="Times New Roman" w:eastAsia="Times New Roman" w:hAnsi="Times New Roman" w:cs="Times New Roman"/>
          <w:b/>
          <w:bCs/>
          <w:sz w:val="24"/>
          <w:szCs w:val="24"/>
          <w:lang w:val="sr-Cyrl-RS"/>
        </w:rPr>
        <w:t>Специфични циљеви Програма</w:t>
      </w:r>
      <w:r w:rsidRPr="00AC2AB6">
        <w:rPr>
          <w:rFonts w:ascii="Times New Roman" w:eastAsia="Times New Roman" w:hAnsi="Times New Roman" w:cs="Times New Roman"/>
          <w:sz w:val="24"/>
          <w:szCs w:val="24"/>
          <w:lang w:val="sr-Cyrl-RS"/>
        </w:rPr>
        <w:t xml:space="preserve"> су:</w:t>
      </w:r>
    </w:p>
    <w:p w14:paraId="42BF3FFB" w14:textId="77777777" w:rsidR="00723B14" w:rsidRPr="00AC2AB6" w:rsidRDefault="00723B14" w:rsidP="00723B14">
      <w:pPr>
        <w:pStyle w:val="ListParagraph"/>
        <w:numPr>
          <w:ilvl w:val="0"/>
          <w:numId w:val="5"/>
        </w:numPr>
        <w:ind w:left="340"/>
        <w:jc w:val="both"/>
        <w:rPr>
          <w:rFonts w:ascii="Times New Roman" w:eastAsia="Times New Roman" w:hAnsi="Times New Roman" w:cs="Times New Roman"/>
          <w:lang w:val="sr-Cyrl-RS"/>
        </w:rPr>
      </w:pPr>
      <w:r w:rsidRPr="00AC2AB6">
        <w:rPr>
          <w:rFonts w:ascii="Times New Roman" w:eastAsia="Times New Roman" w:hAnsi="Times New Roman" w:cs="Times New Roman"/>
          <w:lang w:val="sr-Cyrl-RS"/>
        </w:rPr>
        <w:t xml:space="preserve">Системска промоција микро, малих и средњих предузећа у циљу побољшања могућности самозапошљавања </w:t>
      </w:r>
    </w:p>
    <w:p w14:paraId="3E06688F" w14:textId="77777777" w:rsidR="00723B14" w:rsidRPr="00AC2AB6" w:rsidRDefault="00723B14" w:rsidP="00723B14">
      <w:pPr>
        <w:pStyle w:val="ListParagraph"/>
        <w:numPr>
          <w:ilvl w:val="0"/>
          <w:numId w:val="5"/>
        </w:numPr>
        <w:ind w:left="340"/>
        <w:jc w:val="both"/>
        <w:rPr>
          <w:rFonts w:ascii="Times New Roman" w:eastAsia="Times New Roman" w:hAnsi="Times New Roman" w:cs="Times New Roman"/>
          <w:lang w:val="sr-Cyrl-RS"/>
        </w:rPr>
      </w:pPr>
      <w:r w:rsidRPr="00AC2AB6">
        <w:rPr>
          <w:rFonts w:ascii="Times New Roman" w:eastAsia="Times New Roman" w:hAnsi="Times New Roman" w:cs="Times New Roman"/>
          <w:lang w:val="sr-Cyrl-RS"/>
        </w:rPr>
        <w:t>Остваривање личних прихода</w:t>
      </w:r>
    </w:p>
    <w:p w14:paraId="4A546E2A" w14:textId="7281F3CD" w:rsidR="00AC2AB6" w:rsidRPr="00AC2AB6" w:rsidRDefault="00723B14" w:rsidP="006A3DCC">
      <w:pPr>
        <w:pStyle w:val="ListParagraph"/>
        <w:numPr>
          <w:ilvl w:val="0"/>
          <w:numId w:val="5"/>
        </w:numPr>
        <w:ind w:left="340"/>
        <w:jc w:val="both"/>
        <w:rPr>
          <w:rFonts w:ascii="Times New Roman" w:eastAsia="Times New Roman" w:hAnsi="Times New Roman" w:cs="Times New Roman"/>
          <w:lang w:val="sr-Cyrl-RS"/>
        </w:rPr>
      </w:pPr>
      <w:r w:rsidRPr="00AC2AB6">
        <w:rPr>
          <w:rFonts w:ascii="Times New Roman" w:eastAsia="Times New Roman" w:hAnsi="Times New Roman" w:cs="Times New Roman"/>
          <w:lang w:val="sr-Cyrl-RS"/>
        </w:rPr>
        <w:t>Подршка предузетништву жена, младих и социјалног предузетништва</w:t>
      </w:r>
      <w:r w:rsidR="0086398B" w:rsidRPr="00AC2AB6">
        <w:rPr>
          <w:rFonts w:ascii="Times New Roman" w:eastAsia="Times New Roman" w:hAnsi="Times New Roman" w:cs="Times New Roman"/>
          <w:lang w:val="sr-Cyrl-RS"/>
        </w:rPr>
        <w:t xml:space="preserve"> </w:t>
      </w:r>
    </w:p>
    <w:p w14:paraId="7E72E273" w14:textId="77777777" w:rsidR="00AC2AB6" w:rsidRPr="00AC2AB6" w:rsidRDefault="00AC2AB6" w:rsidP="00AC2AB6">
      <w:pPr>
        <w:pStyle w:val="ListParagraph"/>
        <w:ind w:left="340"/>
        <w:jc w:val="both"/>
        <w:rPr>
          <w:rFonts w:ascii="Times New Roman" w:eastAsia="Times New Roman" w:hAnsi="Times New Roman" w:cs="Times New Roman"/>
          <w:lang w:val="sr-Cyrl-RS"/>
        </w:rPr>
      </w:pPr>
    </w:p>
    <w:p w14:paraId="7D68750D" w14:textId="443C0D27" w:rsidR="00723B14" w:rsidRPr="00AC2AB6" w:rsidRDefault="00723B14" w:rsidP="006A3DCC">
      <w:pPr>
        <w:spacing w:after="0"/>
        <w:rPr>
          <w:rFonts w:ascii="Times New Roman" w:eastAsia="Times New Roman" w:hAnsi="Times New Roman" w:cs="Times New Roman"/>
          <w:sz w:val="24"/>
          <w:szCs w:val="24"/>
          <w:lang w:val="sr-Cyrl-RS"/>
        </w:rPr>
      </w:pPr>
      <w:r w:rsidRPr="00AC2AB6">
        <w:rPr>
          <w:rFonts w:ascii="Times New Roman" w:eastAsia="Times New Roman" w:hAnsi="Times New Roman" w:cs="Times New Roman"/>
          <w:b/>
          <w:bCs/>
          <w:sz w:val="24"/>
          <w:szCs w:val="24"/>
          <w:lang w:val="sr-Cyrl-RS"/>
        </w:rPr>
        <w:t>Програм се састоји из 4 компоненте</w:t>
      </w:r>
      <w:r w:rsidRPr="00AC2AB6">
        <w:rPr>
          <w:rFonts w:ascii="Times New Roman" w:eastAsia="Times New Roman" w:hAnsi="Times New Roman" w:cs="Times New Roman"/>
          <w:sz w:val="24"/>
          <w:szCs w:val="24"/>
          <w:lang w:val="sr-Cyrl-RS"/>
        </w:rPr>
        <w:t>:</w:t>
      </w:r>
    </w:p>
    <w:p w14:paraId="2B5F6D2F" w14:textId="77777777" w:rsidR="00723B14" w:rsidRPr="00AC2AB6" w:rsidRDefault="00723B14" w:rsidP="00723B14">
      <w:pPr>
        <w:pStyle w:val="ListParagraph"/>
        <w:ind w:left="0"/>
        <w:rPr>
          <w:rFonts w:ascii="Times New Roman" w:eastAsia="Times New Roman" w:hAnsi="Times New Roman" w:cs="Times New Roman"/>
          <w:lang w:val="sr-Cyrl-RS"/>
        </w:rPr>
      </w:pPr>
    </w:p>
    <w:p w14:paraId="06EC687D" w14:textId="77777777" w:rsidR="00723B14" w:rsidRPr="00AC2AB6" w:rsidRDefault="00723B14" w:rsidP="00723B14">
      <w:pPr>
        <w:pStyle w:val="ListParagraph"/>
        <w:numPr>
          <w:ilvl w:val="0"/>
          <w:numId w:val="6"/>
        </w:numPr>
        <w:ind w:left="397" w:hanging="426"/>
        <w:jc w:val="both"/>
        <w:rPr>
          <w:rFonts w:ascii="Times New Roman" w:eastAsia="Times New Roman" w:hAnsi="Times New Roman" w:cs="Times New Roman"/>
          <w:lang w:val="sr-Cyrl-RS"/>
        </w:rPr>
      </w:pPr>
      <w:r w:rsidRPr="00AC2AB6">
        <w:rPr>
          <w:rFonts w:ascii="Times New Roman" w:eastAsia="Times New Roman" w:hAnsi="Times New Roman" w:cs="Times New Roman"/>
          <w:lang w:val="sr-Cyrl-RS"/>
        </w:rPr>
        <w:lastRenderedPageBreak/>
        <w:t>Гаранција за кредите одобрене од стране пословних банака које ће путем јавног позива бити изабране да учествују у Програму. Гаранција покрива 60% сваког индивидуалног кредита укључујући износ редовне камате (за кашњење до 90 календарских дана од датума последњег неисплаћеног ануитета) у оквиру Максималног пројектованог портфеља кредита за сваку партнерску банку. Пословна банка задржава преосталих 40% ризика.</w:t>
      </w:r>
    </w:p>
    <w:p w14:paraId="367130AB" w14:textId="14C780FF" w:rsidR="00723B14" w:rsidRPr="00AC2AB6" w:rsidRDefault="00723B14" w:rsidP="00723B14">
      <w:pPr>
        <w:pStyle w:val="ListParagraph"/>
        <w:numPr>
          <w:ilvl w:val="0"/>
          <w:numId w:val="6"/>
        </w:numPr>
        <w:ind w:left="397" w:hanging="426"/>
        <w:jc w:val="both"/>
        <w:rPr>
          <w:rFonts w:ascii="Times New Roman" w:eastAsia="Times New Roman" w:hAnsi="Times New Roman" w:cs="Times New Roman"/>
          <w:lang w:val="sr-Cyrl-RS"/>
        </w:rPr>
      </w:pPr>
      <w:r w:rsidRPr="00AC2AB6">
        <w:rPr>
          <w:rFonts w:ascii="Times New Roman" w:eastAsia="Times New Roman" w:hAnsi="Times New Roman" w:cs="Times New Roman"/>
          <w:lang w:val="sr-Cyrl-RS"/>
        </w:rPr>
        <w:t>Одобрење повољних банкарски</w:t>
      </w:r>
      <w:r w:rsidR="00206C67" w:rsidRPr="00AC2AB6">
        <w:rPr>
          <w:rFonts w:ascii="Times New Roman" w:eastAsia="Times New Roman" w:hAnsi="Times New Roman" w:cs="Times New Roman"/>
          <w:lang w:val="sr-Cyrl-RS"/>
        </w:rPr>
        <w:t>х</w:t>
      </w:r>
      <w:r w:rsidRPr="00AC2AB6">
        <w:rPr>
          <w:rFonts w:ascii="Times New Roman" w:eastAsia="Times New Roman" w:hAnsi="Times New Roman" w:cs="Times New Roman"/>
          <w:lang w:val="sr-Cyrl-RS"/>
        </w:rPr>
        <w:t xml:space="preserve"> кредита од стране пословних банака које ће бити изабране да учествују у реализацији Програма </w:t>
      </w:r>
    </w:p>
    <w:p w14:paraId="2F64DEDF" w14:textId="77777777" w:rsidR="00723B14" w:rsidRPr="00AC2AB6" w:rsidRDefault="00723B14" w:rsidP="00723B14">
      <w:pPr>
        <w:pStyle w:val="ListParagraph"/>
        <w:numPr>
          <w:ilvl w:val="0"/>
          <w:numId w:val="6"/>
        </w:numPr>
        <w:ind w:left="397" w:hanging="426"/>
        <w:jc w:val="both"/>
        <w:rPr>
          <w:rFonts w:ascii="Times New Roman" w:eastAsia="Times New Roman" w:hAnsi="Times New Roman" w:cs="Times New Roman"/>
          <w:lang w:val="sr-Cyrl-RS"/>
        </w:rPr>
      </w:pPr>
      <w:r w:rsidRPr="00AC2AB6">
        <w:rPr>
          <w:rFonts w:ascii="Times New Roman" w:eastAsia="Times New Roman" w:hAnsi="Times New Roman" w:cs="Times New Roman"/>
          <w:lang w:val="sr-Cyrl-RS"/>
        </w:rPr>
        <w:t>Исплата бесповратних средстава (гранта) зајмопримцима који испуне Програмом предвиђене услове</w:t>
      </w:r>
    </w:p>
    <w:p w14:paraId="289FA535" w14:textId="1B53D024" w:rsidR="0086398B" w:rsidRPr="00AC2AB6" w:rsidRDefault="00723B14" w:rsidP="0086398B">
      <w:pPr>
        <w:pStyle w:val="ListParagraph"/>
        <w:numPr>
          <w:ilvl w:val="0"/>
          <w:numId w:val="6"/>
        </w:numPr>
        <w:ind w:left="397" w:hanging="426"/>
        <w:jc w:val="both"/>
        <w:rPr>
          <w:rFonts w:ascii="Times New Roman" w:eastAsia="Times New Roman" w:hAnsi="Times New Roman" w:cs="Times New Roman"/>
          <w:lang w:val="sr-Cyrl-RS"/>
        </w:rPr>
      </w:pPr>
      <w:r w:rsidRPr="00AC2AB6">
        <w:rPr>
          <w:rFonts w:ascii="Times New Roman" w:eastAsia="Times New Roman" w:hAnsi="Times New Roman" w:cs="Times New Roman"/>
          <w:lang w:val="sr-Cyrl-RS"/>
        </w:rPr>
        <w:t>Обезбеђивање стручне, бесплатне помоћи и подршке у изради пословног плана и даљем пословању кроз менторинг програм који спроводи Имплементациони партнер који ће у поступку Јавне набавке бити изабран да учествује у реализацији Програма</w:t>
      </w:r>
      <w:r w:rsidR="00A64040" w:rsidRPr="00AC2AB6">
        <w:rPr>
          <w:rFonts w:ascii="Times New Roman" w:eastAsia="Times New Roman" w:hAnsi="Times New Roman" w:cs="Times New Roman"/>
          <w:lang w:val="sr-Cyrl-RS"/>
        </w:rPr>
        <w:t>.</w:t>
      </w:r>
    </w:p>
    <w:p w14:paraId="7964A986" w14:textId="77777777" w:rsidR="00A64040" w:rsidRPr="00AC2AB6" w:rsidRDefault="00A64040" w:rsidP="00A64040">
      <w:pPr>
        <w:pStyle w:val="ListParagraph"/>
        <w:ind w:left="397"/>
        <w:jc w:val="both"/>
        <w:rPr>
          <w:rFonts w:ascii="Times New Roman" w:eastAsia="Times New Roman" w:hAnsi="Times New Roman" w:cs="Times New Roman"/>
          <w:lang w:val="sr-Cyrl-RS"/>
        </w:rPr>
      </w:pPr>
    </w:p>
    <w:p w14:paraId="0F919F66" w14:textId="77777777" w:rsidR="00723B14" w:rsidRPr="00AC2AB6" w:rsidRDefault="00723B14" w:rsidP="00723B14">
      <w:pPr>
        <w:jc w:val="both"/>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У складу са Програмом, кредити одобрени од стране партнерских банака могу се користити за финансирање инвестиционих улагања (набавка производне опреме, машина, постројења, садница, куповина или адаптација пословног или производног простора и сл.), за финансирање оперативних трошкова пословања у складу са интерним процедурама и кредитном политиком пословне Банке.</w:t>
      </w:r>
    </w:p>
    <w:p w14:paraId="609CC7EC" w14:textId="621FDA7A" w:rsidR="00723B14" w:rsidRPr="00AC2AB6" w:rsidRDefault="00723B14" w:rsidP="00723B14">
      <w:pPr>
        <w:jc w:val="both"/>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 xml:space="preserve">Врсте трошкова који се сматрају оперативним трошковима пословања ће бити утврђене </w:t>
      </w:r>
      <w:r w:rsidR="00206C67" w:rsidRPr="00AC2AB6">
        <w:rPr>
          <w:rFonts w:ascii="Times New Roman" w:eastAsia="Times New Roman" w:hAnsi="Times New Roman" w:cs="Times New Roman"/>
          <w:sz w:val="24"/>
          <w:szCs w:val="24"/>
          <w:lang w:val="sr-Cyrl-RS"/>
        </w:rPr>
        <w:t xml:space="preserve">интерним актима </w:t>
      </w:r>
      <w:r w:rsidRPr="00AC2AB6">
        <w:rPr>
          <w:rFonts w:ascii="Times New Roman" w:eastAsia="Times New Roman" w:hAnsi="Times New Roman" w:cs="Times New Roman"/>
          <w:sz w:val="24"/>
          <w:szCs w:val="24"/>
          <w:lang w:val="sr-Cyrl-RS"/>
        </w:rPr>
        <w:t xml:space="preserve">партнерске банке.   </w:t>
      </w:r>
    </w:p>
    <w:p w14:paraId="79AE8797" w14:textId="7172C783" w:rsidR="00723B14" w:rsidRPr="00AC2AB6" w:rsidRDefault="00723B14" w:rsidP="00723B14">
      <w:pPr>
        <w:tabs>
          <w:tab w:val="left" w:pos="709"/>
        </w:tabs>
        <w:jc w:val="both"/>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Средства кредита се не могу користити за финансирање обављања делатности чије финансирање није дозвољено према последњој листи таквих делатности коју је издала Међународна финансијска корпорација (IFC) и финансирање осталих делатности чије би финансирање било у супротности са домаћим прописима, закљученим међународним уговорима или наменом и циљевима овог програма.</w:t>
      </w:r>
      <w:r w:rsidR="00206C67" w:rsidRPr="00AC2AB6">
        <w:rPr>
          <w:rFonts w:ascii="Times New Roman" w:eastAsia="Times New Roman" w:hAnsi="Times New Roman" w:cs="Times New Roman"/>
          <w:sz w:val="24"/>
          <w:szCs w:val="24"/>
          <w:lang w:val="sr-Cyrl-RS"/>
        </w:rPr>
        <w:t xml:space="preserve"> </w:t>
      </w:r>
      <w:r w:rsidRPr="00AC2AB6">
        <w:rPr>
          <w:rFonts w:ascii="Times New Roman" w:eastAsia="Times New Roman" w:hAnsi="Times New Roman" w:cs="Times New Roman"/>
          <w:sz w:val="24"/>
          <w:szCs w:val="24"/>
          <w:lang w:val="sr-Cyrl-RS"/>
        </w:rPr>
        <w:t>Средства из кредита се не могу користити за:</w:t>
      </w:r>
    </w:p>
    <w:p w14:paraId="3794AA69" w14:textId="77777777" w:rsidR="00723B14" w:rsidRPr="00AC2AB6" w:rsidRDefault="00723B14" w:rsidP="00723B14">
      <w:pPr>
        <w:pStyle w:val="ListParagraph"/>
        <w:numPr>
          <w:ilvl w:val="0"/>
          <w:numId w:val="7"/>
        </w:numPr>
        <w:tabs>
          <w:tab w:val="left" w:pos="709"/>
        </w:tabs>
        <w:ind w:left="360"/>
        <w:jc w:val="both"/>
        <w:rPr>
          <w:rFonts w:ascii="Times New Roman" w:eastAsia="Times New Roman" w:hAnsi="Times New Roman" w:cs="Times New Roman"/>
          <w:lang w:val="sr-Cyrl-RS"/>
        </w:rPr>
      </w:pPr>
      <w:r w:rsidRPr="00AC2AB6">
        <w:rPr>
          <w:rFonts w:ascii="Times New Roman" w:eastAsia="Times New Roman" w:hAnsi="Times New Roman" w:cs="Times New Roman"/>
          <w:lang w:val="sr-Cyrl-RS"/>
        </w:rPr>
        <w:t>плаћање рата кредита као ни за реструктурирање кредита;</w:t>
      </w:r>
    </w:p>
    <w:p w14:paraId="5D5A500A" w14:textId="312AEE73" w:rsidR="00723B14" w:rsidRPr="00AC2AB6" w:rsidRDefault="00723B14" w:rsidP="00723B14">
      <w:pPr>
        <w:pStyle w:val="ListParagraph"/>
        <w:numPr>
          <w:ilvl w:val="0"/>
          <w:numId w:val="7"/>
        </w:numPr>
        <w:tabs>
          <w:tab w:val="left" w:pos="709"/>
        </w:tabs>
        <w:ind w:left="360"/>
        <w:jc w:val="both"/>
        <w:rPr>
          <w:rFonts w:ascii="Times New Roman" w:eastAsia="Times New Roman" w:hAnsi="Times New Roman" w:cs="Times New Roman"/>
          <w:lang w:val="sr-Cyrl-RS"/>
        </w:rPr>
      </w:pPr>
      <w:r w:rsidRPr="00AC2AB6">
        <w:rPr>
          <w:rFonts w:ascii="Times New Roman" w:eastAsia="Times New Roman" w:hAnsi="Times New Roman" w:cs="Times New Roman"/>
          <w:lang w:val="sr-Cyrl-RS"/>
        </w:rPr>
        <w:t>отплату кредита код друге банке</w:t>
      </w:r>
      <w:r w:rsidR="006A3DCC" w:rsidRPr="00AC2AB6">
        <w:rPr>
          <w:rFonts w:ascii="Times New Roman" w:eastAsia="Times New Roman" w:hAnsi="Times New Roman" w:cs="Times New Roman"/>
          <w:lang w:val="sr-Cyrl-RS"/>
        </w:rPr>
        <w:t>.</w:t>
      </w:r>
    </w:p>
    <w:p w14:paraId="6A8A8C9A" w14:textId="77777777" w:rsidR="006A3DCC" w:rsidRPr="00AC2AB6" w:rsidRDefault="006A3DCC" w:rsidP="006A3DCC">
      <w:pPr>
        <w:pStyle w:val="ListParagraph"/>
        <w:tabs>
          <w:tab w:val="left" w:pos="709"/>
        </w:tabs>
        <w:ind w:left="360"/>
        <w:jc w:val="both"/>
        <w:rPr>
          <w:rFonts w:ascii="Times New Roman" w:eastAsia="Times New Roman" w:hAnsi="Times New Roman" w:cs="Times New Roman"/>
          <w:lang w:val="sr-Cyrl-RS"/>
        </w:rPr>
      </w:pPr>
    </w:p>
    <w:p w14:paraId="3C94D553" w14:textId="7A4A7583" w:rsidR="00723B14" w:rsidRPr="00AC2AB6" w:rsidRDefault="00723B14" w:rsidP="00723B14">
      <w:pPr>
        <w:spacing w:after="0"/>
        <w:jc w:val="both"/>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Оперативни трошкови пословања могу да учествују највише до 30% у структури укупног инвестиционог улагања. И на овај део кредита примењиваће се услови за инвестиционе кредите.</w:t>
      </w:r>
    </w:p>
    <w:p w14:paraId="158B2950" w14:textId="16BCAC52" w:rsidR="00CB2B83" w:rsidRPr="00AC2AB6" w:rsidRDefault="00CB2B83" w:rsidP="00723B14">
      <w:pPr>
        <w:spacing w:after="0"/>
        <w:jc w:val="both"/>
        <w:rPr>
          <w:rFonts w:ascii="Times New Roman" w:eastAsia="Times New Roman" w:hAnsi="Times New Roman" w:cs="Times New Roman"/>
          <w:sz w:val="24"/>
          <w:szCs w:val="24"/>
          <w:lang w:val="sr-Cyrl-RS"/>
        </w:rPr>
      </w:pPr>
    </w:p>
    <w:p w14:paraId="5F2B797D" w14:textId="411979D6" w:rsidR="00CB2B83" w:rsidRPr="00AC2AB6" w:rsidRDefault="00CB2B83" w:rsidP="00723B14">
      <w:pPr>
        <w:spacing w:after="0"/>
        <w:jc w:val="both"/>
        <w:rPr>
          <w:rFonts w:ascii="Times New Roman" w:eastAsia="Times New Roman" w:hAnsi="Times New Roman" w:cs="Times New Roman"/>
          <w:b/>
          <w:bCs/>
          <w:sz w:val="24"/>
          <w:szCs w:val="24"/>
          <w:lang w:val="sr-Cyrl-RS"/>
        </w:rPr>
      </w:pPr>
      <w:r w:rsidRPr="00AC2AB6">
        <w:rPr>
          <w:rFonts w:ascii="Times New Roman" w:eastAsia="Times New Roman" w:hAnsi="Times New Roman" w:cs="Times New Roman"/>
          <w:b/>
          <w:bCs/>
          <w:sz w:val="24"/>
          <w:szCs w:val="24"/>
          <w:lang w:val="sr-Cyrl-RS"/>
        </w:rPr>
        <w:t>Финансијски оквир</w:t>
      </w:r>
    </w:p>
    <w:p w14:paraId="0963E4EE" w14:textId="662CE085" w:rsidR="00AB559A" w:rsidRPr="00AC2AB6" w:rsidRDefault="00AB559A" w:rsidP="00723B14">
      <w:pPr>
        <w:spacing w:after="0"/>
        <w:jc w:val="both"/>
        <w:rPr>
          <w:rFonts w:ascii="Times New Roman" w:eastAsia="Times New Roman" w:hAnsi="Times New Roman" w:cs="Times New Roman"/>
          <w:b/>
          <w:bCs/>
          <w:sz w:val="24"/>
          <w:szCs w:val="24"/>
          <w:lang w:val="sr-Cyrl-RS"/>
        </w:rPr>
      </w:pPr>
    </w:p>
    <w:p w14:paraId="000E29DB" w14:textId="25C87F94" w:rsidR="00CB2B83" w:rsidRPr="00AC2AB6" w:rsidRDefault="00CB2B83" w:rsidP="00CB2B83">
      <w:pPr>
        <w:tabs>
          <w:tab w:val="left" w:pos="709"/>
        </w:tabs>
        <w:jc w:val="both"/>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 xml:space="preserve">Укупно расположива средства за реализацију овог Програма су 300.000.000,00 динара. Од наведених средстава, 250.000.000,00 динара намењено је за спровођење Програма промоције предузетништва и самозапошљавања, док је износ од 50.000.000,00 динара намењен за трошкове ангажовања Имплементационог партнера и спровођење програма обуке и менторинга. </w:t>
      </w:r>
    </w:p>
    <w:p w14:paraId="3A686098" w14:textId="77777777" w:rsidR="00CB2B83" w:rsidRPr="00AC2AB6" w:rsidRDefault="00CB2B83" w:rsidP="00CB2B83">
      <w:pPr>
        <w:tabs>
          <w:tab w:val="left" w:pos="709"/>
        </w:tabs>
        <w:jc w:val="both"/>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lastRenderedPageBreak/>
        <w:t xml:space="preserve">Привредни субјекти који задовоље услове Програма могу остварити право на финансијску подршку у виду бесповратних средстава у износу до 20% у зависности од износа инвестиције. Инвестиција представља улагање које се финансира средствима из Програма и не укључује партиципацију корисника кредита.   </w:t>
      </w:r>
    </w:p>
    <w:p w14:paraId="401B4FD4" w14:textId="77777777" w:rsidR="00206C67" w:rsidRPr="00AC2AB6" w:rsidRDefault="00206C67" w:rsidP="00CB2B83">
      <w:pPr>
        <w:rPr>
          <w:rFonts w:ascii="Times New Roman" w:eastAsia="Times New Roman" w:hAnsi="Times New Roman" w:cs="Times New Roman"/>
          <w:b/>
          <w:bCs/>
          <w:sz w:val="24"/>
          <w:szCs w:val="24"/>
          <w:lang w:val="sr-Cyrl-RS"/>
        </w:rPr>
      </w:pPr>
    </w:p>
    <w:p w14:paraId="6C67428A" w14:textId="7FDC43A0" w:rsidR="00CB2B83" w:rsidRPr="00AC2AB6" w:rsidRDefault="006A3DCC" w:rsidP="00CB2B83">
      <w:pPr>
        <w:rPr>
          <w:rFonts w:ascii="Times New Roman" w:eastAsia="Times New Roman" w:hAnsi="Times New Roman" w:cs="Times New Roman"/>
          <w:b/>
          <w:bCs/>
          <w:sz w:val="24"/>
          <w:szCs w:val="24"/>
          <w:lang w:val="sr-Cyrl-RS"/>
        </w:rPr>
      </w:pPr>
      <w:r w:rsidRPr="00AC2AB6">
        <w:rPr>
          <w:rFonts w:ascii="Times New Roman" w:eastAsia="Times New Roman" w:hAnsi="Times New Roman" w:cs="Times New Roman"/>
          <w:b/>
          <w:bCs/>
          <w:sz w:val="24"/>
          <w:szCs w:val="24"/>
          <w:lang w:val="sr-Cyrl-RS"/>
        </w:rPr>
        <w:t xml:space="preserve">Услови учешћа </w:t>
      </w:r>
      <w:r w:rsidR="008F044A" w:rsidRPr="00AC2AB6">
        <w:rPr>
          <w:rFonts w:ascii="Times New Roman" w:eastAsia="Times New Roman" w:hAnsi="Times New Roman" w:cs="Times New Roman"/>
          <w:b/>
          <w:bCs/>
          <w:sz w:val="24"/>
          <w:szCs w:val="24"/>
          <w:lang w:val="sr-Cyrl-RS"/>
        </w:rPr>
        <w:t>на јавном конкурсу:</w:t>
      </w:r>
    </w:p>
    <w:p w14:paraId="0F663A31" w14:textId="4A063D37" w:rsidR="004E04ED" w:rsidRPr="00AC2AB6" w:rsidRDefault="004E04ED" w:rsidP="00CB2B83">
      <w:pPr>
        <w:jc w:val="both"/>
        <w:rPr>
          <w:rFonts w:ascii="Times New Roman" w:hAnsi="Times New Roman" w:cs="Times New Roman"/>
          <w:sz w:val="24"/>
          <w:szCs w:val="24"/>
          <w:lang w:val="sr-Cyrl-RS"/>
        </w:rPr>
      </w:pPr>
      <w:r w:rsidRPr="00AC2AB6">
        <w:rPr>
          <w:rFonts w:ascii="Times New Roman" w:hAnsi="Times New Roman" w:cs="Times New Roman"/>
          <w:sz w:val="24"/>
          <w:szCs w:val="24"/>
          <w:lang w:val="sr-Cyrl-RS"/>
        </w:rPr>
        <w:t>Право учешћа на овом конкурсу имају све заинтересоване банке које испуњавају све законом утврђене услове за обављање делатности на територији Републике Србије</w:t>
      </w:r>
      <w:r w:rsidR="006A3DCC" w:rsidRPr="00AC2AB6">
        <w:rPr>
          <w:rFonts w:ascii="Times New Roman" w:hAnsi="Times New Roman" w:cs="Times New Roman"/>
          <w:sz w:val="24"/>
          <w:szCs w:val="24"/>
          <w:lang w:val="sr-Cyrl-RS"/>
        </w:rPr>
        <w:t>, као и да:</w:t>
      </w:r>
    </w:p>
    <w:p w14:paraId="2AA3D63F" w14:textId="77777777" w:rsidR="004E04ED" w:rsidRPr="00AC2AB6" w:rsidRDefault="004E04ED" w:rsidP="004E04ED">
      <w:pPr>
        <w:pStyle w:val="ListParagraph"/>
        <w:tabs>
          <w:tab w:val="left" w:pos="567"/>
        </w:tabs>
        <w:ind w:left="0"/>
        <w:jc w:val="both"/>
        <w:rPr>
          <w:rFonts w:ascii="Times New Roman" w:hAnsi="Times New Roman" w:cs="Times New Roman"/>
          <w:b/>
          <w:lang w:val="sr-Cyrl-RS"/>
        </w:rPr>
      </w:pPr>
    </w:p>
    <w:p w14:paraId="6A5F007B" w14:textId="20C47B9C" w:rsidR="004E04ED" w:rsidRPr="00AC2AB6" w:rsidRDefault="004E04ED" w:rsidP="004E04ED">
      <w:pPr>
        <w:pStyle w:val="ListParagraph"/>
        <w:numPr>
          <w:ilvl w:val="0"/>
          <w:numId w:val="8"/>
        </w:numPr>
        <w:tabs>
          <w:tab w:val="left" w:pos="567"/>
        </w:tabs>
        <w:ind w:left="341" w:hanging="284"/>
        <w:jc w:val="both"/>
        <w:rPr>
          <w:rFonts w:ascii="Times New Roman" w:hAnsi="Times New Roman" w:cs="Times New Roman"/>
          <w:lang w:val="sr-Cyrl-RS"/>
        </w:rPr>
      </w:pPr>
      <w:r w:rsidRPr="00AC2AB6">
        <w:rPr>
          <w:rFonts w:ascii="Times New Roman" w:hAnsi="Times New Roman" w:cs="Times New Roman"/>
          <w:lang w:val="sr-Cyrl-RS"/>
        </w:rPr>
        <w:t xml:space="preserve">банка није под мером/мерама Народне банке Србије због које/којих не може учествовати на предметном конкурсу (нпр. Решењем НБС изречени налози и мере за исправљање неправилности у пословању које би могле да угрозе њено финансијско стање или мере којима НБС банци налаже да се усклади са већим показатељем адекватности капитала од дотадашњег, што банка није учинила; </w:t>
      </w:r>
    </w:p>
    <w:p w14:paraId="59A26777" w14:textId="73AA7336" w:rsidR="004E04ED" w:rsidRPr="00AC2AB6" w:rsidRDefault="004E04ED" w:rsidP="004E04ED">
      <w:pPr>
        <w:pStyle w:val="ListParagraph"/>
        <w:numPr>
          <w:ilvl w:val="0"/>
          <w:numId w:val="8"/>
        </w:numPr>
        <w:tabs>
          <w:tab w:val="left" w:pos="567"/>
        </w:tabs>
        <w:ind w:left="341" w:hanging="284"/>
        <w:jc w:val="both"/>
        <w:rPr>
          <w:rFonts w:ascii="Times New Roman" w:hAnsi="Times New Roman" w:cs="Times New Roman"/>
          <w:lang w:val="sr-Cyrl-RS"/>
        </w:rPr>
      </w:pPr>
      <w:r w:rsidRPr="00AC2AB6">
        <w:rPr>
          <w:rFonts w:ascii="Times New Roman" w:hAnsi="Times New Roman" w:cs="Times New Roman"/>
          <w:lang w:val="sr-Cyrl-RS"/>
        </w:rPr>
        <w:t xml:space="preserve">обезбеђује правилно управљање квалификованим кредитима у складу са процедурама и упутствима (одабир и саветовање подобних зајмопримаца, учешће у обуци службеника за зајмове у оквиру компоненте техничке помоћи Програма, одговарајуће и благовремено извештавање у правилном формату, давање повратних информација о корацима које треба побољшати; </w:t>
      </w:r>
    </w:p>
    <w:p w14:paraId="466838F1" w14:textId="4E6DEF26" w:rsidR="004E04ED" w:rsidRPr="00AC2AB6" w:rsidRDefault="004E04ED" w:rsidP="004E04ED">
      <w:pPr>
        <w:pStyle w:val="ListParagraph"/>
        <w:numPr>
          <w:ilvl w:val="0"/>
          <w:numId w:val="8"/>
        </w:numPr>
        <w:tabs>
          <w:tab w:val="left" w:pos="567"/>
        </w:tabs>
        <w:ind w:left="341" w:hanging="284"/>
        <w:jc w:val="both"/>
        <w:rPr>
          <w:rFonts w:ascii="Times New Roman" w:hAnsi="Times New Roman" w:cs="Times New Roman"/>
          <w:lang w:val="sr-Cyrl-RS"/>
        </w:rPr>
      </w:pPr>
      <w:r w:rsidRPr="00AC2AB6">
        <w:rPr>
          <w:rFonts w:ascii="Times New Roman" w:hAnsi="Times New Roman" w:cs="Times New Roman"/>
          <w:lang w:val="sr-Cyrl-RS"/>
        </w:rPr>
        <w:t>осигурава и потписује обавезу да ће се придржавати важећих националних прописа о заштити животне средине, здравља и сигурности на раду и социјалних закона и Декларације о основним стандардима Међународне организације рада ("Декларација ИЛО") коју је ратификовала Република Србија;</w:t>
      </w:r>
    </w:p>
    <w:p w14:paraId="275D40EE" w14:textId="601DCBA6" w:rsidR="004E04ED" w:rsidRPr="00AC2AB6" w:rsidRDefault="004E04ED" w:rsidP="004E04ED">
      <w:pPr>
        <w:pStyle w:val="ListParagraph"/>
        <w:numPr>
          <w:ilvl w:val="0"/>
          <w:numId w:val="8"/>
        </w:numPr>
        <w:tabs>
          <w:tab w:val="left" w:pos="567"/>
        </w:tabs>
        <w:ind w:left="341" w:hanging="284"/>
        <w:jc w:val="both"/>
        <w:rPr>
          <w:rFonts w:ascii="Times New Roman" w:eastAsia="Times New Roman" w:hAnsi="Times New Roman" w:cs="Times New Roman"/>
          <w:lang w:val="sr-Cyrl-RS" w:eastAsia="en-GB"/>
        </w:rPr>
      </w:pPr>
      <w:r w:rsidRPr="00AC2AB6">
        <w:rPr>
          <w:rFonts w:ascii="Times New Roman" w:hAnsi="Times New Roman" w:cs="Times New Roman"/>
          <w:lang w:val="sr-Cyrl-RS"/>
        </w:rPr>
        <w:t>преузима одговорност да ће уговорно обавезати све под-зајмопримце у оквиру Програма да се придржавају важећих еколошких и друштвених захтева како је наведено у тачки ц). Партнерска банка ће осигурати усклађеност са ИФЦ стандардима рада, као и са ЕХС смерницама светске банке. Партнерска банка ће одржати систем заштите животне средине и социјалне управе сразмерно својој природи пословања и ризицима везаним за Програм;</w:t>
      </w:r>
    </w:p>
    <w:p w14:paraId="3F90B9F6" w14:textId="7EFD4EB6" w:rsidR="004E04ED" w:rsidRPr="00AC2AB6" w:rsidRDefault="004E04ED" w:rsidP="004E04ED">
      <w:pPr>
        <w:pStyle w:val="ListParagraph"/>
        <w:numPr>
          <w:ilvl w:val="0"/>
          <w:numId w:val="8"/>
        </w:numPr>
        <w:tabs>
          <w:tab w:val="left" w:pos="567"/>
        </w:tabs>
        <w:spacing w:line="300" w:lineRule="atLeast"/>
        <w:ind w:left="341" w:hanging="284"/>
        <w:jc w:val="both"/>
        <w:rPr>
          <w:rFonts w:ascii="Times New Roman" w:eastAsia="Times New Roman" w:hAnsi="Times New Roman" w:cs="Times New Roman"/>
          <w:lang w:val="sr-Cyrl-RS" w:eastAsia="en-GB"/>
        </w:rPr>
      </w:pPr>
      <w:r w:rsidRPr="00AC2AB6">
        <w:rPr>
          <w:rFonts w:ascii="Times New Roman" w:eastAsia="Times New Roman" w:hAnsi="Times New Roman" w:cs="Times New Roman"/>
          <w:lang w:val="sr-Cyrl-RS" w:eastAsia="en-GB"/>
        </w:rPr>
        <w:t>је ниво кредита у доцњи преко 90 дана (НПЛ-а) за партнерску банку у Србији на дан 31.12.2018 испод 20%</w:t>
      </w:r>
    </w:p>
    <w:p w14:paraId="2E3AE17E" w14:textId="19F2C671" w:rsidR="004E04ED" w:rsidRPr="00AC2AB6" w:rsidRDefault="004E04ED" w:rsidP="004E04ED">
      <w:pPr>
        <w:pStyle w:val="ListParagraph"/>
        <w:numPr>
          <w:ilvl w:val="0"/>
          <w:numId w:val="8"/>
        </w:numPr>
        <w:tabs>
          <w:tab w:val="left" w:pos="567"/>
        </w:tabs>
        <w:spacing w:line="300" w:lineRule="atLeast"/>
        <w:ind w:left="341" w:hanging="284"/>
        <w:jc w:val="both"/>
        <w:rPr>
          <w:rFonts w:ascii="Times New Roman" w:eastAsia="Times New Roman" w:hAnsi="Times New Roman" w:cs="Times New Roman"/>
          <w:lang w:val="sr-Cyrl-RS" w:eastAsia="en-GB"/>
        </w:rPr>
      </w:pPr>
      <w:r w:rsidRPr="00AC2AB6">
        <w:rPr>
          <w:rFonts w:ascii="Times New Roman" w:eastAsia="Times New Roman" w:hAnsi="Times New Roman" w:cs="Times New Roman"/>
          <w:lang w:val="sr-Cyrl-RS" w:eastAsia="en-GB"/>
        </w:rPr>
        <w:t>је адекватност капитала на 31.12.2018. године изнад 15%</w:t>
      </w:r>
    </w:p>
    <w:p w14:paraId="23E9716C" w14:textId="57B3DCED" w:rsidR="004E04ED" w:rsidRPr="00AC2AB6" w:rsidRDefault="004E04ED" w:rsidP="004E04ED">
      <w:pPr>
        <w:pStyle w:val="ListParagraph"/>
        <w:numPr>
          <w:ilvl w:val="0"/>
          <w:numId w:val="8"/>
        </w:numPr>
        <w:tabs>
          <w:tab w:val="left" w:pos="567"/>
        </w:tabs>
        <w:spacing w:line="300" w:lineRule="atLeast"/>
        <w:ind w:left="341" w:hanging="284"/>
        <w:jc w:val="both"/>
        <w:rPr>
          <w:rFonts w:ascii="Times New Roman" w:eastAsia="Times New Roman" w:hAnsi="Times New Roman" w:cs="Times New Roman"/>
          <w:lang w:val="sr-Cyrl-RS" w:eastAsia="en-GB"/>
        </w:rPr>
      </w:pPr>
      <w:r w:rsidRPr="00AC2AB6">
        <w:rPr>
          <w:rFonts w:ascii="Times New Roman" w:eastAsia="Times New Roman" w:hAnsi="Times New Roman" w:cs="Times New Roman"/>
          <w:lang w:val="sr-Cyrl-RS" w:eastAsia="en-GB"/>
        </w:rPr>
        <w:t>је број филијала у Србији најмање 60</w:t>
      </w:r>
      <w:r w:rsidR="00D016D9" w:rsidRPr="00AC2AB6">
        <w:rPr>
          <w:rFonts w:ascii="Times New Roman" w:eastAsia="Times New Roman" w:hAnsi="Times New Roman" w:cs="Times New Roman"/>
          <w:lang w:val="sr-Cyrl-RS" w:eastAsia="en-GB"/>
        </w:rPr>
        <w:t>.</w:t>
      </w:r>
    </w:p>
    <w:p w14:paraId="4DB0FD1F" w14:textId="77777777" w:rsidR="004E04ED" w:rsidRPr="00AC2AB6" w:rsidRDefault="004E04ED" w:rsidP="004E04ED">
      <w:pPr>
        <w:pStyle w:val="ListParagraph"/>
        <w:tabs>
          <w:tab w:val="left" w:pos="567"/>
        </w:tabs>
        <w:ind w:left="0"/>
        <w:jc w:val="both"/>
        <w:rPr>
          <w:rFonts w:ascii="Times New Roman" w:hAnsi="Times New Roman" w:cs="Times New Roman"/>
          <w:b/>
          <w:lang w:val="sr-Cyrl-RS"/>
        </w:rPr>
      </w:pPr>
    </w:p>
    <w:p w14:paraId="19EB73A4" w14:textId="77777777" w:rsidR="004E04ED" w:rsidRPr="00AC2AB6" w:rsidRDefault="004E04ED" w:rsidP="004E04ED">
      <w:pPr>
        <w:pStyle w:val="ListParagraph"/>
        <w:tabs>
          <w:tab w:val="left" w:pos="567"/>
        </w:tabs>
        <w:ind w:left="0"/>
        <w:jc w:val="both"/>
        <w:rPr>
          <w:rFonts w:ascii="Times New Roman" w:hAnsi="Times New Roman" w:cs="Times New Roman"/>
          <w:lang w:val="sr-Cyrl-RS"/>
        </w:rPr>
      </w:pPr>
      <w:r w:rsidRPr="00AC2AB6">
        <w:rPr>
          <w:rFonts w:ascii="Times New Roman" w:hAnsi="Times New Roman" w:cs="Times New Roman"/>
          <w:b/>
          <w:bCs/>
          <w:lang w:val="sr-Cyrl-RS"/>
        </w:rPr>
        <w:t>Обавезујући услови за све банке које су заинтересоване за учешће у реализацији Програма су да се кредити одобравају под следећим условима</w:t>
      </w:r>
      <w:r w:rsidRPr="00AC2AB6">
        <w:rPr>
          <w:rFonts w:ascii="Times New Roman" w:hAnsi="Times New Roman" w:cs="Times New Roman"/>
          <w:lang w:val="sr-Cyrl-RS"/>
        </w:rPr>
        <w:t>:</w:t>
      </w:r>
    </w:p>
    <w:p w14:paraId="78C02B33" w14:textId="77777777" w:rsidR="004E04ED" w:rsidRPr="00AC2AB6" w:rsidRDefault="004E04ED" w:rsidP="004E04ED">
      <w:pPr>
        <w:pStyle w:val="ListParagraph"/>
        <w:tabs>
          <w:tab w:val="left" w:pos="567"/>
        </w:tabs>
        <w:ind w:left="0"/>
        <w:jc w:val="both"/>
        <w:rPr>
          <w:rFonts w:ascii="Times New Roman" w:hAnsi="Times New Roman" w:cs="Times New Roman"/>
          <w:b/>
          <w:lang w:val="sr-Cyrl-RS"/>
        </w:rPr>
      </w:pPr>
    </w:p>
    <w:p w14:paraId="7F462E72" w14:textId="77777777" w:rsidR="004E04ED" w:rsidRPr="00AC2AB6" w:rsidRDefault="004E04ED" w:rsidP="004E04ED">
      <w:pPr>
        <w:pStyle w:val="ListParagraph"/>
        <w:numPr>
          <w:ilvl w:val="0"/>
          <w:numId w:val="9"/>
        </w:numPr>
        <w:tabs>
          <w:tab w:val="left" w:pos="284"/>
        </w:tabs>
        <w:ind w:left="303"/>
        <w:jc w:val="both"/>
        <w:rPr>
          <w:rFonts w:ascii="Times New Roman" w:hAnsi="Times New Roman" w:cs="Times New Roman"/>
          <w:lang w:val="sr-Cyrl-RS"/>
        </w:rPr>
      </w:pPr>
      <w:r w:rsidRPr="00AC2AB6">
        <w:rPr>
          <w:rFonts w:ascii="Times New Roman" w:hAnsi="Times New Roman" w:cs="Times New Roman"/>
          <w:lang w:val="sr-Cyrl-RS"/>
        </w:rPr>
        <w:t>максималан износ кредита:  3.600.000,00 РСД;</w:t>
      </w:r>
    </w:p>
    <w:p w14:paraId="4270D369" w14:textId="77777777" w:rsidR="004E04ED" w:rsidRPr="00AC2AB6" w:rsidRDefault="004E04ED" w:rsidP="004E04ED">
      <w:pPr>
        <w:pStyle w:val="ListParagraph"/>
        <w:numPr>
          <w:ilvl w:val="0"/>
          <w:numId w:val="9"/>
        </w:numPr>
        <w:tabs>
          <w:tab w:val="left" w:pos="284"/>
        </w:tabs>
        <w:ind w:left="303"/>
        <w:jc w:val="both"/>
        <w:rPr>
          <w:rFonts w:ascii="Times New Roman" w:hAnsi="Times New Roman" w:cs="Times New Roman"/>
          <w:lang w:val="sr-Cyrl-RS"/>
        </w:rPr>
      </w:pPr>
      <w:r w:rsidRPr="00AC2AB6">
        <w:rPr>
          <w:rFonts w:ascii="Times New Roman" w:hAnsi="Times New Roman" w:cs="Times New Roman"/>
          <w:lang w:val="sr-Cyrl-RS"/>
        </w:rPr>
        <w:t>номинална каматна стопа је фиксна, до 5,99% (РСД) на годишњем нивоу и обрачунава се и наплаћује месечно и о року доспећа, односно за све време важења овог уговора;</w:t>
      </w:r>
    </w:p>
    <w:p w14:paraId="7D6B30B1" w14:textId="77777777" w:rsidR="004E04ED" w:rsidRPr="00AC2AB6" w:rsidRDefault="004E04ED" w:rsidP="004E04ED">
      <w:pPr>
        <w:pStyle w:val="ListParagraph"/>
        <w:numPr>
          <w:ilvl w:val="0"/>
          <w:numId w:val="9"/>
        </w:numPr>
        <w:tabs>
          <w:tab w:val="left" w:pos="284"/>
        </w:tabs>
        <w:ind w:left="303"/>
        <w:jc w:val="both"/>
        <w:rPr>
          <w:rFonts w:ascii="Times New Roman" w:hAnsi="Times New Roman" w:cs="Times New Roman"/>
          <w:lang w:val="sr-Cyrl-RS"/>
        </w:rPr>
      </w:pPr>
      <w:r w:rsidRPr="00AC2AB6">
        <w:rPr>
          <w:rFonts w:ascii="Times New Roman" w:hAnsi="Times New Roman" w:cs="Times New Roman"/>
          <w:lang w:val="sr-Cyrl-RS"/>
        </w:rPr>
        <w:t xml:space="preserve">трошкови и накнаде се обрачунавају сагласно Општим условима пословања Банке а њихова висина се утврђује на основу интерних аката Банке. Трошкови и накнаде не могу </w:t>
      </w:r>
      <w:r w:rsidRPr="00AC2AB6">
        <w:rPr>
          <w:rFonts w:ascii="Times New Roman" w:hAnsi="Times New Roman" w:cs="Times New Roman"/>
          <w:lang w:val="sr-Cyrl-RS"/>
        </w:rPr>
        <w:lastRenderedPageBreak/>
        <w:t>да буду виши од 1% од износа кредита. Банка је у обавези да на захтев пружи одговарајућа објашњења и инструкције које се односе на наплату трошкова и тарифа као и да на захтев достави Опште услове пословања у вези са обрачуном кредита;</w:t>
      </w:r>
    </w:p>
    <w:p w14:paraId="1437F66E" w14:textId="72D257D9" w:rsidR="004E04ED" w:rsidRPr="00AC2AB6" w:rsidRDefault="004E04ED" w:rsidP="004E04ED">
      <w:pPr>
        <w:pStyle w:val="ListParagraph"/>
        <w:numPr>
          <w:ilvl w:val="0"/>
          <w:numId w:val="9"/>
        </w:numPr>
        <w:tabs>
          <w:tab w:val="left" w:pos="284"/>
        </w:tabs>
        <w:ind w:left="303"/>
        <w:jc w:val="both"/>
        <w:rPr>
          <w:rFonts w:ascii="Times New Roman" w:hAnsi="Times New Roman" w:cs="Times New Roman"/>
          <w:lang w:val="sr-Cyrl-RS"/>
        </w:rPr>
      </w:pPr>
      <w:r w:rsidRPr="00AC2AB6">
        <w:rPr>
          <w:rFonts w:ascii="Times New Roman" w:hAnsi="Times New Roman" w:cs="Times New Roman"/>
          <w:lang w:val="sr-Cyrl-RS"/>
        </w:rPr>
        <w:t xml:space="preserve">у случају доцње наплаћује се затезна камата у складу са Општим условима пословања у вези са обрачуном кредита, актима пословне политике Банке и законским прописима а у случају да је уговорена каматна стопа (дефинисана у тачки 2 овог члана) виша од затезне камате, уговорена камата тече и након доспевања у доцњу.  </w:t>
      </w:r>
    </w:p>
    <w:p w14:paraId="0A8105E3" w14:textId="12CB983B" w:rsidR="00206C67" w:rsidRPr="00AC2AB6" w:rsidRDefault="00206C67" w:rsidP="00206C67">
      <w:pPr>
        <w:pStyle w:val="ListParagraph"/>
        <w:tabs>
          <w:tab w:val="left" w:pos="284"/>
        </w:tabs>
        <w:ind w:left="303"/>
        <w:jc w:val="both"/>
        <w:rPr>
          <w:rFonts w:ascii="Times New Roman" w:hAnsi="Times New Roman" w:cs="Times New Roman"/>
          <w:lang w:val="sr-Cyrl-RS"/>
        </w:rPr>
      </w:pPr>
    </w:p>
    <w:p w14:paraId="1CA860CB" w14:textId="77777777" w:rsidR="00206C67" w:rsidRPr="00AC2AB6" w:rsidRDefault="00206C67" w:rsidP="00206C67">
      <w:pPr>
        <w:jc w:val="both"/>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 xml:space="preserve">Корисник кредита има право на отплату целог кредита или дела кредита пре рока доспећа (превремена отплата кредита) у сваком тренутку током трајања кредитног односа. Банка нема право наплате посебнe накнаде за трошкове превремене отплате. </w:t>
      </w:r>
    </w:p>
    <w:p w14:paraId="029619AD" w14:textId="77777777" w:rsidR="00206C67" w:rsidRPr="00AC2AB6" w:rsidRDefault="00206C67" w:rsidP="00206C67">
      <w:pPr>
        <w:pStyle w:val="ListParagraph"/>
        <w:tabs>
          <w:tab w:val="left" w:pos="567"/>
        </w:tabs>
        <w:ind w:left="0"/>
        <w:jc w:val="both"/>
        <w:rPr>
          <w:rFonts w:ascii="Times New Roman" w:eastAsia="Times New Roman" w:hAnsi="Times New Roman" w:cs="Times New Roman"/>
          <w:lang w:val="sr-Cyrl-RS"/>
        </w:rPr>
      </w:pPr>
      <w:r w:rsidRPr="00AC2AB6">
        <w:rPr>
          <w:rFonts w:ascii="Times New Roman" w:eastAsia="Times New Roman" w:hAnsi="Times New Roman" w:cs="Times New Roman"/>
          <w:lang w:val="sr-Cyrl-RS"/>
        </w:rPr>
        <w:t>Уколико се превремена отплата кредита деси пре протека рока од 12 месеци од дана пуштања кредита у течај, одредбе уговора о гаранцији и коришћењу бесповратних средстава, које су закључене под условом да се кредит отплаћује најмање 12 месеци, стављају се ван снаге и корисник кредита трајно губи могућност коришћења бесповратних средстава на основу тог уговора.</w:t>
      </w:r>
    </w:p>
    <w:p w14:paraId="5363B1BA" w14:textId="77777777" w:rsidR="00206C67" w:rsidRPr="00AC2AB6" w:rsidRDefault="00206C67" w:rsidP="00206C67">
      <w:pPr>
        <w:pStyle w:val="ListParagraph"/>
        <w:tabs>
          <w:tab w:val="left" w:pos="567"/>
        </w:tabs>
        <w:ind w:left="0"/>
        <w:jc w:val="both"/>
        <w:rPr>
          <w:rFonts w:ascii="Times New Roman" w:eastAsia="Times New Roman" w:hAnsi="Times New Roman" w:cs="Times New Roman"/>
          <w:lang w:val="sr-Cyrl-RS"/>
        </w:rPr>
      </w:pPr>
    </w:p>
    <w:p w14:paraId="32A60909" w14:textId="77777777" w:rsidR="00206C67" w:rsidRPr="00AC2AB6" w:rsidRDefault="00206C67" w:rsidP="00206C67">
      <w:pPr>
        <w:jc w:val="both"/>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Банка не може обрачунавати и наплаћивати друге камате, накнаде и трошкове од корисника кредита, осим оних који су регулисани уговором.</w:t>
      </w:r>
    </w:p>
    <w:p w14:paraId="3F52646A" w14:textId="26B56E4B" w:rsidR="00D016D9" w:rsidRPr="00AC2AB6" w:rsidRDefault="00D016D9" w:rsidP="00D016D9">
      <w:pPr>
        <w:tabs>
          <w:tab w:val="left" w:pos="709"/>
        </w:tabs>
        <w:jc w:val="both"/>
        <w:rPr>
          <w:rFonts w:ascii="Times New Roman" w:hAnsi="Times New Roman" w:cs="Times New Roman"/>
          <w:sz w:val="24"/>
          <w:szCs w:val="24"/>
          <w:lang w:val="sr-Cyrl-RS"/>
        </w:rPr>
      </w:pPr>
      <w:r w:rsidRPr="00AC2AB6">
        <w:rPr>
          <w:rFonts w:ascii="Times New Roman" w:hAnsi="Times New Roman" w:cs="Times New Roman"/>
          <w:b/>
          <w:bCs/>
          <w:sz w:val="24"/>
          <w:szCs w:val="24"/>
          <w:lang w:val="sr-Cyrl-RS"/>
        </w:rPr>
        <w:t>Кредити се могу користити за</w:t>
      </w:r>
      <w:r w:rsidRPr="00AC2AB6">
        <w:rPr>
          <w:rFonts w:ascii="Times New Roman" w:hAnsi="Times New Roman" w:cs="Times New Roman"/>
          <w:sz w:val="24"/>
          <w:szCs w:val="24"/>
          <w:lang w:val="sr-Cyrl-RS"/>
        </w:rPr>
        <w:t>:</w:t>
      </w:r>
    </w:p>
    <w:p w14:paraId="60F10CC0" w14:textId="77777777" w:rsidR="00D016D9" w:rsidRPr="00AC2AB6" w:rsidRDefault="00D016D9" w:rsidP="00D016D9">
      <w:pPr>
        <w:pStyle w:val="ListParagraph"/>
        <w:numPr>
          <w:ilvl w:val="0"/>
          <w:numId w:val="10"/>
        </w:numPr>
        <w:tabs>
          <w:tab w:val="left" w:pos="709"/>
        </w:tabs>
        <w:ind w:left="360"/>
        <w:jc w:val="both"/>
        <w:rPr>
          <w:rFonts w:ascii="Times New Roman" w:hAnsi="Times New Roman" w:cs="Times New Roman"/>
          <w:lang w:val="sr-Cyrl-RS"/>
        </w:rPr>
      </w:pPr>
      <w:r w:rsidRPr="00AC2AB6">
        <w:rPr>
          <w:rFonts w:ascii="Times New Roman" w:hAnsi="Times New Roman" w:cs="Times New Roman"/>
          <w:b/>
          <w:lang w:val="sr-Cyrl-RS"/>
        </w:rPr>
        <w:t>оперативне трошкове</w:t>
      </w:r>
      <w:r w:rsidRPr="00AC2AB6">
        <w:rPr>
          <w:rFonts w:ascii="Times New Roman" w:hAnsi="Times New Roman" w:cs="Times New Roman"/>
          <w:lang w:val="sr-Cyrl-RS"/>
        </w:rPr>
        <w:t xml:space="preserve"> - период отплате за кредите за оперативне трошкове не прелази 36 месечних рата са максималним периодом почека од 3 месеца.</w:t>
      </w:r>
    </w:p>
    <w:p w14:paraId="1A83143E" w14:textId="77777777" w:rsidR="00D016D9" w:rsidRPr="00AC2AB6" w:rsidRDefault="00D016D9" w:rsidP="00D016D9">
      <w:pPr>
        <w:pStyle w:val="ListParagraph"/>
        <w:numPr>
          <w:ilvl w:val="0"/>
          <w:numId w:val="10"/>
        </w:numPr>
        <w:tabs>
          <w:tab w:val="left" w:pos="709"/>
        </w:tabs>
        <w:ind w:left="360"/>
        <w:jc w:val="both"/>
        <w:rPr>
          <w:rFonts w:ascii="Times New Roman" w:hAnsi="Times New Roman" w:cs="Times New Roman"/>
          <w:lang w:val="sr-Cyrl-RS"/>
        </w:rPr>
      </w:pPr>
      <w:r w:rsidRPr="00AC2AB6">
        <w:rPr>
          <w:rFonts w:ascii="Times New Roman" w:hAnsi="Times New Roman" w:cs="Times New Roman"/>
          <w:b/>
          <w:lang w:val="sr-Cyrl-RS"/>
        </w:rPr>
        <w:t>инвестициона улагања</w:t>
      </w:r>
      <w:r w:rsidRPr="00AC2AB6">
        <w:rPr>
          <w:rFonts w:ascii="Times New Roman" w:hAnsi="Times New Roman" w:cs="Times New Roman"/>
          <w:lang w:val="sr-Cyrl-RS"/>
        </w:rPr>
        <w:t xml:space="preserve"> - период отплате за инвестиционе кредите не прелази 60 месеци са максималним периодом почека од 6 месеци.</w:t>
      </w:r>
      <w:r w:rsidRPr="00AC2AB6">
        <w:rPr>
          <w:rFonts w:ascii="Times New Roman" w:hAnsi="Times New Roman" w:cs="Times New Roman"/>
          <w:lang w:val="sr-Cyrl-RS"/>
        </w:rPr>
        <w:tab/>
      </w:r>
    </w:p>
    <w:p w14:paraId="31AC56FB" w14:textId="77777777" w:rsidR="00D016D9" w:rsidRPr="00AC2AB6" w:rsidRDefault="00D016D9" w:rsidP="00D016D9">
      <w:pPr>
        <w:pStyle w:val="ListParagraph"/>
        <w:tabs>
          <w:tab w:val="left" w:pos="567"/>
        </w:tabs>
        <w:ind w:left="0"/>
        <w:jc w:val="both"/>
        <w:rPr>
          <w:rFonts w:ascii="Times New Roman" w:hAnsi="Times New Roman" w:cs="Times New Roman"/>
          <w:lang w:val="sr-Cyrl-RS"/>
        </w:rPr>
      </w:pPr>
    </w:p>
    <w:p w14:paraId="3B91A776" w14:textId="77777777" w:rsidR="00D016D9" w:rsidRPr="00AC2AB6" w:rsidRDefault="00D016D9" w:rsidP="00D016D9">
      <w:pPr>
        <w:pStyle w:val="ListParagraph"/>
        <w:tabs>
          <w:tab w:val="left" w:pos="567"/>
        </w:tabs>
        <w:ind w:left="0"/>
        <w:jc w:val="both"/>
        <w:rPr>
          <w:rFonts w:ascii="Times New Roman" w:hAnsi="Times New Roman" w:cs="Times New Roman"/>
          <w:lang w:val="sr-Cyrl-RS"/>
        </w:rPr>
      </w:pPr>
      <w:r w:rsidRPr="00AC2AB6">
        <w:rPr>
          <w:rFonts w:ascii="Times New Roman" w:hAnsi="Times New Roman" w:cs="Times New Roman"/>
          <w:lang w:val="sr-Cyrl-RS"/>
        </w:rPr>
        <w:t>У случају комбиновања оперативни трошкови могу да учествују највише до 30% у структури укупног инвестиционог улагања. И на овај део кредита примењиваће се услови за инвестиционе кредите</w:t>
      </w:r>
    </w:p>
    <w:p w14:paraId="133A5A5C" w14:textId="77777777" w:rsidR="00D016D9" w:rsidRPr="00AC2AB6" w:rsidRDefault="00D016D9" w:rsidP="00D016D9">
      <w:pPr>
        <w:pStyle w:val="ListParagraph"/>
        <w:tabs>
          <w:tab w:val="left" w:pos="567"/>
        </w:tabs>
        <w:ind w:left="-57"/>
        <w:jc w:val="both"/>
        <w:rPr>
          <w:rFonts w:ascii="Times New Roman" w:hAnsi="Times New Roman" w:cs="Times New Roman"/>
          <w:b/>
          <w:bCs/>
          <w:lang w:val="sr-Cyrl-RS"/>
        </w:rPr>
      </w:pPr>
      <w:r w:rsidRPr="00AC2AB6">
        <w:rPr>
          <w:rFonts w:ascii="Times New Roman" w:hAnsi="Times New Roman" w:cs="Times New Roman"/>
          <w:b/>
          <w:bCs/>
          <w:lang w:val="sr-Cyrl-RS"/>
        </w:rPr>
        <w:t>Неопходно је да следећи трошкови и накнаде буду засебно исказани:</w:t>
      </w:r>
    </w:p>
    <w:p w14:paraId="40A93B90" w14:textId="77777777" w:rsidR="00D016D9" w:rsidRPr="00AC2AB6" w:rsidRDefault="00D016D9" w:rsidP="00D016D9">
      <w:pPr>
        <w:pStyle w:val="ListParagraph"/>
        <w:tabs>
          <w:tab w:val="left" w:pos="567"/>
        </w:tabs>
        <w:ind w:left="283"/>
        <w:jc w:val="both"/>
        <w:rPr>
          <w:rFonts w:ascii="Times New Roman" w:hAnsi="Times New Roman" w:cs="Times New Roman"/>
          <w:b/>
          <w:bCs/>
          <w:lang w:val="sr-Cyrl-RS"/>
        </w:rPr>
      </w:pPr>
    </w:p>
    <w:p w14:paraId="375EC95F" w14:textId="77777777" w:rsidR="00D016D9" w:rsidRPr="00AC2AB6" w:rsidRDefault="00D016D9" w:rsidP="00D016D9">
      <w:pPr>
        <w:pStyle w:val="ListParagraph"/>
        <w:numPr>
          <w:ilvl w:val="0"/>
          <w:numId w:val="11"/>
        </w:numPr>
        <w:tabs>
          <w:tab w:val="left" w:pos="567"/>
        </w:tabs>
        <w:ind w:left="283"/>
        <w:jc w:val="both"/>
        <w:rPr>
          <w:rFonts w:ascii="Times New Roman" w:hAnsi="Times New Roman" w:cs="Times New Roman"/>
          <w:lang w:val="sr-Cyrl-RS"/>
        </w:rPr>
      </w:pPr>
      <w:r w:rsidRPr="00AC2AB6">
        <w:rPr>
          <w:rFonts w:ascii="Times New Roman" w:hAnsi="Times New Roman" w:cs="Times New Roman"/>
          <w:lang w:val="sr-Cyrl-RS"/>
        </w:rPr>
        <w:t xml:space="preserve">Трошкови обраде захтева; </w:t>
      </w:r>
    </w:p>
    <w:p w14:paraId="4A6014FB" w14:textId="77777777" w:rsidR="00D016D9" w:rsidRPr="00AC2AB6" w:rsidRDefault="00D016D9" w:rsidP="00D016D9">
      <w:pPr>
        <w:pStyle w:val="ListParagraph"/>
        <w:numPr>
          <w:ilvl w:val="0"/>
          <w:numId w:val="11"/>
        </w:numPr>
        <w:tabs>
          <w:tab w:val="left" w:pos="567"/>
        </w:tabs>
        <w:ind w:left="283"/>
        <w:jc w:val="both"/>
        <w:rPr>
          <w:rFonts w:ascii="Times New Roman" w:hAnsi="Times New Roman" w:cs="Times New Roman"/>
          <w:lang w:val="sr-Cyrl-RS"/>
        </w:rPr>
      </w:pPr>
      <w:r w:rsidRPr="00AC2AB6">
        <w:rPr>
          <w:rFonts w:ascii="Times New Roman" w:hAnsi="Times New Roman" w:cs="Times New Roman"/>
          <w:lang w:val="sr-Cyrl-RS"/>
        </w:rPr>
        <w:t>Трошкови прибављања извештаја кредитног бироа;</w:t>
      </w:r>
    </w:p>
    <w:p w14:paraId="6311C85C" w14:textId="77777777" w:rsidR="00D016D9" w:rsidRPr="00AC2AB6" w:rsidRDefault="00D016D9" w:rsidP="00D016D9">
      <w:pPr>
        <w:pStyle w:val="ListParagraph"/>
        <w:numPr>
          <w:ilvl w:val="0"/>
          <w:numId w:val="11"/>
        </w:numPr>
        <w:tabs>
          <w:tab w:val="left" w:pos="567"/>
        </w:tabs>
        <w:ind w:left="283"/>
        <w:jc w:val="both"/>
        <w:rPr>
          <w:rFonts w:ascii="Times New Roman" w:hAnsi="Times New Roman" w:cs="Times New Roman"/>
          <w:lang w:val="sr-Cyrl-RS"/>
        </w:rPr>
      </w:pPr>
      <w:r w:rsidRPr="00AC2AB6">
        <w:rPr>
          <w:rFonts w:ascii="Times New Roman" w:hAnsi="Times New Roman" w:cs="Times New Roman"/>
          <w:lang w:val="sr-Cyrl-RS"/>
        </w:rPr>
        <w:t>Трошкови меница ;</w:t>
      </w:r>
    </w:p>
    <w:p w14:paraId="3C404FD5" w14:textId="77777777" w:rsidR="00D016D9" w:rsidRPr="00AC2AB6" w:rsidRDefault="00D016D9" w:rsidP="00D016D9">
      <w:pPr>
        <w:pStyle w:val="ListParagraph"/>
        <w:numPr>
          <w:ilvl w:val="0"/>
          <w:numId w:val="11"/>
        </w:numPr>
        <w:tabs>
          <w:tab w:val="left" w:pos="567"/>
        </w:tabs>
        <w:ind w:left="283"/>
        <w:jc w:val="both"/>
        <w:rPr>
          <w:rFonts w:ascii="Times New Roman" w:hAnsi="Times New Roman" w:cs="Times New Roman"/>
          <w:lang w:val="sr-Cyrl-RS"/>
        </w:rPr>
      </w:pPr>
      <w:r w:rsidRPr="00AC2AB6">
        <w:rPr>
          <w:rFonts w:ascii="Times New Roman" w:hAnsi="Times New Roman" w:cs="Times New Roman"/>
          <w:lang w:val="sr-Cyrl-RS"/>
        </w:rPr>
        <w:t>Остали, уколико су предвиђени.</w:t>
      </w:r>
    </w:p>
    <w:p w14:paraId="0A437320" w14:textId="77777777" w:rsidR="00D016D9" w:rsidRPr="00AC2AB6" w:rsidRDefault="00D016D9" w:rsidP="00D016D9">
      <w:pPr>
        <w:tabs>
          <w:tab w:val="left" w:pos="567"/>
        </w:tabs>
        <w:ind w:left="283"/>
        <w:jc w:val="both"/>
        <w:rPr>
          <w:rFonts w:ascii="Times New Roman" w:hAnsi="Times New Roman" w:cs="Times New Roman"/>
          <w:sz w:val="24"/>
          <w:szCs w:val="24"/>
          <w:lang w:val="sr-Cyrl-RS"/>
        </w:rPr>
      </w:pPr>
    </w:p>
    <w:p w14:paraId="58A456CF" w14:textId="77777777" w:rsidR="00D016D9" w:rsidRPr="00AC2AB6" w:rsidRDefault="00D016D9" w:rsidP="00D016D9">
      <w:pPr>
        <w:tabs>
          <w:tab w:val="left" w:pos="567"/>
        </w:tabs>
        <w:jc w:val="both"/>
        <w:rPr>
          <w:rFonts w:ascii="Times New Roman" w:hAnsi="Times New Roman" w:cs="Times New Roman"/>
          <w:sz w:val="24"/>
          <w:szCs w:val="24"/>
          <w:lang w:val="sr-Cyrl-RS"/>
        </w:rPr>
      </w:pPr>
      <w:r w:rsidRPr="00AC2AB6">
        <w:rPr>
          <w:rFonts w:ascii="Times New Roman" w:hAnsi="Times New Roman" w:cs="Times New Roman"/>
          <w:sz w:val="24"/>
          <w:szCs w:val="24"/>
          <w:lang w:val="sr-Cyrl-RS"/>
        </w:rPr>
        <w:t>Критеријум за избор банке биће предложена висина каматне стопе за дефинисане рочности приказане у табели:</w:t>
      </w:r>
    </w:p>
    <w:p w14:paraId="33A32847" w14:textId="77777777" w:rsidR="00D016D9" w:rsidRPr="00AC2AB6" w:rsidRDefault="00D016D9" w:rsidP="00D016D9">
      <w:pPr>
        <w:tabs>
          <w:tab w:val="left" w:pos="567"/>
        </w:tabs>
        <w:jc w:val="both"/>
        <w:rPr>
          <w:rFonts w:ascii="Times New Roman" w:hAnsi="Times New Roman" w:cs="Times New Roman"/>
          <w:sz w:val="24"/>
          <w:szCs w:val="24"/>
          <w:lang w:val="sr-Cyrl-RS"/>
        </w:rPr>
      </w:pPr>
    </w:p>
    <w:tbl>
      <w:tblPr>
        <w:tblStyle w:val="TableGrid"/>
        <w:tblpPr w:leftFromText="180" w:rightFromText="180" w:vertAnchor="text" w:horzAnchor="margin" w:tblpY="97"/>
        <w:tblW w:w="0" w:type="auto"/>
        <w:tblLook w:val="04A0" w:firstRow="1" w:lastRow="0" w:firstColumn="1" w:lastColumn="0" w:noHBand="0" w:noVBand="1"/>
      </w:tblPr>
      <w:tblGrid>
        <w:gridCol w:w="4411"/>
        <w:gridCol w:w="4411"/>
      </w:tblGrid>
      <w:tr w:rsidR="00D016D9" w:rsidRPr="00AC2AB6" w14:paraId="1D019B36" w14:textId="77777777" w:rsidTr="00D82B98">
        <w:tc>
          <w:tcPr>
            <w:tcW w:w="4411" w:type="dxa"/>
          </w:tcPr>
          <w:p w14:paraId="154D06E9" w14:textId="77777777" w:rsidR="00D016D9" w:rsidRPr="00AC2AB6" w:rsidRDefault="00D016D9" w:rsidP="00D82B98">
            <w:pPr>
              <w:tabs>
                <w:tab w:val="left" w:pos="567"/>
              </w:tabs>
              <w:rPr>
                <w:sz w:val="24"/>
                <w:szCs w:val="24"/>
                <w:lang w:val="sr-Cyrl-RS"/>
              </w:rPr>
            </w:pPr>
            <w:r w:rsidRPr="00AC2AB6">
              <w:rPr>
                <w:sz w:val="24"/>
                <w:szCs w:val="24"/>
                <w:lang w:val="sr-Cyrl-RS"/>
              </w:rPr>
              <w:t xml:space="preserve">Рочност </w:t>
            </w:r>
          </w:p>
        </w:tc>
        <w:tc>
          <w:tcPr>
            <w:tcW w:w="4411" w:type="dxa"/>
          </w:tcPr>
          <w:p w14:paraId="470EC753" w14:textId="77777777" w:rsidR="00D016D9" w:rsidRPr="00AC2AB6" w:rsidRDefault="00D016D9" w:rsidP="00D82B98">
            <w:pPr>
              <w:tabs>
                <w:tab w:val="left" w:pos="567"/>
              </w:tabs>
              <w:rPr>
                <w:sz w:val="24"/>
                <w:szCs w:val="24"/>
                <w:lang w:val="sr-Cyrl-RS"/>
              </w:rPr>
            </w:pPr>
            <w:r w:rsidRPr="00AC2AB6">
              <w:rPr>
                <w:sz w:val="24"/>
                <w:szCs w:val="24"/>
                <w:lang w:val="sr-Cyrl-RS"/>
              </w:rPr>
              <w:t>Ефективна каматна стопа</w:t>
            </w:r>
          </w:p>
        </w:tc>
      </w:tr>
      <w:tr w:rsidR="00D016D9" w:rsidRPr="00AC2AB6" w14:paraId="6AB39563" w14:textId="77777777" w:rsidTr="00D82B98">
        <w:tc>
          <w:tcPr>
            <w:tcW w:w="4411" w:type="dxa"/>
          </w:tcPr>
          <w:p w14:paraId="61AC3B36" w14:textId="77777777" w:rsidR="00D016D9" w:rsidRPr="00AC2AB6" w:rsidRDefault="00D016D9" w:rsidP="00D82B98">
            <w:pPr>
              <w:tabs>
                <w:tab w:val="left" w:pos="567"/>
              </w:tabs>
              <w:rPr>
                <w:sz w:val="24"/>
                <w:szCs w:val="24"/>
                <w:lang w:val="sr-Cyrl-RS"/>
              </w:rPr>
            </w:pPr>
            <w:r w:rsidRPr="00AC2AB6">
              <w:rPr>
                <w:sz w:val="24"/>
                <w:szCs w:val="24"/>
                <w:lang w:val="sr-Cyrl-RS"/>
              </w:rPr>
              <w:t>36 месеци</w:t>
            </w:r>
          </w:p>
        </w:tc>
        <w:tc>
          <w:tcPr>
            <w:tcW w:w="4411" w:type="dxa"/>
          </w:tcPr>
          <w:p w14:paraId="2768633B" w14:textId="77777777" w:rsidR="00D016D9" w:rsidRPr="00AC2AB6" w:rsidRDefault="00D016D9" w:rsidP="00D82B98">
            <w:pPr>
              <w:tabs>
                <w:tab w:val="left" w:pos="567"/>
              </w:tabs>
              <w:rPr>
                <w:sz w:val="24"/>
                <w:szCs w:val="24"/>
                <w:lang w:val="sr-Cyrl-RS"/>
              </w:rPr>
            </w:pPr>
          </w:p>
        </w:tc>
      </w:tr>
      <w:tr w:rsidR="00D016D9" w:rsidRPr="00AC2AB6" w14:paraId="01B941E0" w14:textId="77777777" w:rsidTr="00D82B98">
        <w:tc>
          <w:tcPr>
            <w:tcW w:w="4411" w:type="dxa"/>
          </w:tcPr>
          <w:p w14:paraId="0676F7B2" w14:textId="77777777" w:rsidR="00D016D9" w:rsidRPr="00AC2AB6" w:rsidRDefault="00D016D9" w:rsidP="00D82B98">
            <w:pPr>
              <w:tabs>
                <w:tab w:val="left" w:pos="567"/>
              </w:tabs>
              <w:rPr>
                <w:sz w:val="24"/>
                <w:szCs w:val="24"/>
                <w:lang w:val="sr-Cyrl-RS"/>
              </w:rPr>
            </w:pPr>
            <w:r w:rsidRPr="00AC2AB6">
              <w:rPr>
                <w:sz w:val="24"/>
                <w:szCs w:val="24"/>
                <w:lang w:val="sr-Cyrl-RS"/>
              </w:rPr>
              <w:t>60 месеци</w:t>
            </w:r>
          </w:p>
        </w:tc>
        <w:tc>
          <w:tcPr>
            <w:tcW w:w="4411" w:type="dxa"/>
          </w:tcPr>
          <w:p w14:paraId="1D091D64" w14:textId="77777777" w:rsidR="00D016D9" w:rsidRPr="00AC2AB6" w:rsidRDefault="00D016D9" w:rsidP="00D82B98">
            <w:pPr>
              <w:tabs>
                <w:tab w:val="left" w:pos="567"/>
              </w:tabs>
              <w:rPr>
                <w:sz w:val="24"/>
                <w:szCs w:val="24"/>
                <w:lang w:val="sr-Cyrl-RS"/>
              </w:rPr>
            </w:pPr>
          </w:p>
        </w:tc>
      </w:tr>
      <w:tr w:rsidR="00D016D9" w:rsidRPr="00AC2AB6" w14:paraId="1C08472A" w14:textId="77777777" w:rsidTr="00D82B98">
        <w:tc>
          <w:tcPr>
            <w:tcW w:w="4411" w:type="dxa"/>
          </w:tcPr>
          <w:p w14:paraId="3B20D8DC" w14:textId="77777777" w:rsidR="00D016D9" w:rsidRPr="00AC2AB6" w:rsidRDefault="00D016D9" w:rsidP="00D82B98">
            <w:pPr>
              <w:tabs>
                <w:tab w:val="left" w:pos="567"/>
              </w:tabs>
              <w:rPr>
                <w:sz w:val="24"/>
                <w:szCs w:val="24"/>
                <w:lang w:val="sr-Cyrl-RS"/>
              </w:rPr>
            </w:pPr>
          </w:p>
        </w:tc>
        <w:tc>
          <w:tcPr>
            <w:tcW w:w="4411" w:type="dxa"/>
          </w:tcPr>
          <w:p w14:paraId="762C4963" w14:textId="77777777" w:rsidR="00D016D9" w:rsidRPr="00AC2AB6" w:rsidRDefault="00D016D9" w:rsidP="00D82B98">
            <w:pPr>
              <w:tabs>
                <w:tab w:val="left" w:pos="567"/>
              </w:tabs>
              <w:rPr>
                <w:sz w:val="24"/>
                <w:szCs w:val="24"/>
                <w:lang w:val="sr-Cyrl-RS"/>
              </w:rPr>
            </w:pPr>
          </w:p>
        </w:tc>
      </w:tr>
    </w:tbl>
    <w:p w14:paraId="5C576FD4" w14:textId="4B6F3391" w:rsidR="00D016D9" w:rsidRPr="00AC2AB6" w:rsidRDefault="00D016D9" w:rsidP="00D016D9">
      <w:pPr>
        <w:pStyle w:val="ListParagraph"/>
        <w:tabs>
          <w:tab w:val="left" w:pos="567"/>
        </w:tabs>
        <w:ind w:left="0"/>
        <w:jc w:val="both"/>
        <w:rPr>
          <w:rFonts w:ascii="Times New Roman" w:hAnsi="Times New Roman" w:cs="Times New Roman"/>
          <w:lang w:val="sr-Cyrl-RS"/>
        </w:rPr>
      </w:pPr>
      <w:r w:rsidRPr="00AC2AB6">
        <w:rPr>
          <w:rFonts w:ascii="Times New Roman" w:hAnsi="Times New Roman" w:cs="Times New Roman"/>
          <w:lang w:val="sr-Cyrl-RS"/>
        </w:rPr>
        <w:lastRenderedPageBreak/>
        <w:t xml:space="preserve">          Напомена: банке које не буду доставиле понуду по свим наведеним критеријумима из табеле биће дисквалификоване. Уколико банка даје распон каматне стопе, за бодовање се узима највиша. За обрачун ефективне каматне стопе користити методологију дату Одлуком о условима и начину обрачуна ефективне каматне стопе и изгледу и садржини образаца који се уручују кориснику („Службени гласник РС“ број 65/11) без обзира да ли су корисници правна или физичка лица. У обрачун треба укључити све трошкове изузев трошкова процене и пуног имовинског осигурања на предмету залоге. Обрачуната ефективна каматна стопа на дан одобравања и на дан исплате кредита клијенту могу бити веће од исказане ЕКС у табели само на основу урачунавања наведених трошкова.  </w:t>
      </w:r>
    </w:p>
    <w:p w14:paraId="041A15F9" w14:textId="77C9B231" w:rsidR="00A64040" w:rsidRPr="00AC2AB6" w:rsidRDefault="00A64040" w:rsidP="00D016D9">
      <w:pPr>
        <w:pStyle w:val="ListParagraph"/>
        <w:tabs>
          <w:tab w:val="left" w:pos="567"/>
        </w:tabs>
        <w:ind w:left="0"/>
        <w:jc w:val="both"/>
        <w:rPr>
          <w:rFonts w:ascii="Times New Roman" w:hAnsi="Times New Roman" w:cs="Times New Roman"/>
          <w:lang w:val="sr-Cyrl-RS"/>
        </w:rPr>
      </w:pPr>
    </w:p>
    <w:p w14:paraId="39EBB640" w14:textId="77777777" w:rsidR="00A64040" w:rsidRPr="00AC2AB6" w:rsidRDefault="00A64040" w:rsidP="00A64040">
      <w:pPr>
        <w:pStyle w:val="ListParagraph"/>
        <w:tabs>
          <w:tab w:val="left" w:pos="567"/>
        </w:tabs>
        <w:ind w:left="0"/>
        <w:jc w:val="both"/>
        <w:rPr>
          <w:rFonts w:ascii="Times New Roman" w:hAnsi="Times New Roman" w:cs="Times New Roman"/>
          <w:lang w:val="sr-Cyrl-RS"/>
        </w:rPr>
      </w:pPr>
      <w:r w:rsidRPr="00AC2AB6">
        <w:rPr>
          <w:rFonts w:ascii="Times New Roman" w:hAnsi="Times New Roman" w:cs="Times New Roman"/>
          <w:lang w:val="sr-Cyrl-RS"/>
        </w:rPr>
        <w:t>Прегледање, контролу формалне исправности, оцењивање, рангирање захтева као и доношење одлуке о избору пословних банака које ће учествовати у спровођењу Програма обавља Одбор за праћење реализације програма.</w:t>
      </w:r>
    </w:p>
    <w:p w14:paraId="22BB8008" w14:textId="77777777" w:rsidR="00A64040" w:rsidRPr="00AC2AB6" w:rsidRDefault="00A64040" w:rsidP="00A64040">
      <w:pPr>
        <w:pStyle w:val="ListParagraph"/>
        <w:tabs>
          <w:tab w:val="left" w:pos="567"/>
        </w:tabs>
        <w:ind w:left="0"/>
        <w:jc w:val="both"/>
        <w:rPr>
          <w:rFonts w:ascii="Times New Roman" w:hAnsi="Times New Roman" w:cs="Times New Roman"/>
          <w:lang w:val="sr-Cyrl-RS"/>
        </w:rPr>
      </w:pPr>
      <w:r w:rsidRPr="00AC2AB6">
        <w:rPr>
          <w:rFonts w:ascii="Times New Roman" w:hAnsi="Times New Roman" w:cs="Times New Roman"/>
          <w:lang w:val="sr-Cyrl-RS"/>
        </w:rPr>
        <w:t>Кандидати чије је захтеве Одбор за праћење и реализацију програма  одбио имају право на приговор у року од осам дана од дана пријема одлуке,</w:t>
      </w:r>
    </w:p>
    <w:p w14:paraId="0E2B7106" w14:textId="77777777" w:rsidR="00A64040" w:rsidRPr="00AC2AB6" w:rsidRDefault="00A64040" w:rsidP="00A64040">
      <w:pPr>
        <w:pStyle w:val="ListParagraph"/>
        <w:tabs>
          <w:tab w:val="left" w:pos="567"/>
        </w:tabs>
        <w:ind w:left="0"/>
        <w:jc w:val="both"/>
        <w:rPr>
          <w:rFonts w:ascii="Times New Roman" w:hAnsi="Times New Roman" w:cs="Times New Roman"/>
          <w:lang w:val="sr-Cyrl-RS"/>
        </w:rPr>
      </w:pPr>
      <w:r w:rsidRPr="00AC2AB6">
        <w:rPr>
          <w:rFonts w:ascii="Times New Roman" w:hAnsi="Times New Roman" w:cs="Times New Roman"/>
          <w:lang w:val="sr-Cyrl-RS"/>
        </w:rPr>
        <w:t>Приговор се подноси Министарству привреде, непосредно или препорученом поштом, на адресу Министарства привреде, Кнеза Милоша 20, 11 000 Београд.</w:t>
      </w:r>
    </w:p>
    <w:p w14:paraId="339BBCE9" w14:textId="77777777" w:rsidR="00A64040" w:rsidRPr="00AC2AB6" w:rsidRDefault="00A64040" w:rsidP="00A64040">
      <w:pPr>
        <w:pStyle w:val="ListParagraph"/>
        <w:tabs>
          <w:tab w:val="left" w:pos="567"/>
        </w:tabs>
        <w:ind w:left="0"/>
        <w:jc w:val="both"/>
        <w:rPr>
          <w:rFonts w:ascii="Times New Roman" w:hAnsi="Times New Roman" w:cs="Times New Roman"/>
          <w:lang w:val="sr-Cyrl-RS"/>
        </w:rPr>
      </w:pPr>
      <w:r w:rsidRPr="00AC2AB6">
        <w:rPr>
          <w:rFonts w:ascii="Times New Roman" w:hAnsi="Times New Roman" w:cs="Times New Roman"/>
          <w:lang w:val="sr-Cyrl-RS"/>
        </w:rPr>
        <w:t>О приговору одлучује Министар у року од 30 дана од дана пријема приговора.</w:t>
      </w:r>
    </w:p>
    <w:p w14:paraId="0FC5FF9C" w14:textId="77777777" w:rsidR="00A64040" w:rsidRPr="00AC2AB6" w:rsidRDefault="00A64040" w:rsidP="00D016D9">
      <w:pPr>
        <w:pStyle w:val="ListParagraph"/>
        <w:tabs>
          <w:tab w:val="left" w:pos="567"/>
        </w:tabs>
        <w:ind w:left="0"/>
        <w:jc w:val="both"/>
        <w:rPr>
          <w:rFonts w:ascii="Times New Roman" w:hAnsi="Times New Roman" w:cs="Times New Roman"/>
          <w:lang w:val="sr-Cyrl-RS"/>
        </w:rPr>
      </w:pPr>
    </w:p>
    <w:p w14:paraId="4F812DAE" w14:textId="29C256FC" w:rsidR="00D016D9" w:rsidRPr="00AC2AB6" w:rsidRDefault="00D016D9" w:rsidP="00D016D9">
      <w:pPr>
        <w:pStyle w:val="ListParagraph"/>
        <w:tabs>
          <w:tab w:val="left" w:pos="567"/>
        </w:tabs>
        <w:ind w:left="0"/>
        <w:jc w:val="both"/>
        <w:rPr>
          <w:rFonts w:ascii="Times New Roman" w:hAnsi="Times New Roman" w:cs="Times New Roman"/>
          <w:lang w:val="sr-Cyrl-RS"/>
        </w:rPr>
      </w:pPr>
    </w:p>
    <w:p w14:paraId="6BF1A15E" w14:textId="07E6D0DF" w:rsidR="00D016D9" w:rsidRPr="00AC2AB6" w:rsidRDefault="00D016D9" w:rsidP="00D016D9">
      <w:pPr>
        <w:rPr>
          <w:rFonts w:ascii="Times New Roman" w:eastAsia="Times New Roman" w:hAnsi="Times New Roman" w:cs="Times New Roman"/>
          <w:b/>
          <w:bCs/>
          <w:sz w:val="24"/>
          <w:szCs w:val="24"/>
          <w:lang w:val="sr-Cyrl-RS"/>
        </w:rPr>
      </w:pPr>
      <w:r w:rsidRPr="00AC2AB6">
        <w:rPr>
          <w:rFonts w:ascii="Times New Roman" w:eastAsia="Times New Roman" w:hAnsi="Times New Roman" w:cs="Times New Roman"/>
          <w:b/>
          <w:bCs/>
          <w:sz w:val="24"/>
          <w:szCs w:val="24"/>
          <w:lang w:val="sr-Cyrl-RS"/>
        </w:rPr>
        <w:t>Начин пријављивања и рок за подношење пријава</w:t>
      </w:r>
    </w:p>
    <w:p w14:paraId="42294FF3" w14:textId="0D5CC3C3" w:rsidR="00A64040" w:rsidRPr="00AC2AB6" w:rsidRDefault="00A64040" w:rsidP="00A64040">
      <w:pPr>
        <w:shd w:val="clear" w:color="auto" w:fill="FFFFFF"/>
        <w:spacing w:after="225" w:line="240" w:lineRule="auto"/>
        <w:jc w:val="both"/>
        <w:textAlignment w:val="baseline"/>
        <w:rPr>
          <w:rFonts w:ascii="Times New Roman" w:eastAsiaTheme="minorEastAsia" w:hAnsi="Times New Roman" w:cs="Times New Roman"/>
          <w:sz w:val="24"/>
          <w:szCs w:val="24"/>
          <w:lang w:val="sr-Cyrl-RS"/>
        </w:rPr>
      </w:pPr>
      <w:r w:rsidRPr="00AC2AB6">
        <w:rPr>
          <w:rFonts w:ascii="Times New Roman" w:eastAsiaTheme="minorEastAsia" w:hAnsi="Times New Roman" w:cs="Times New Roman"/>
          <w:sz w:val="24"/>
          <w:szCs w:val="24"/>
          <w:lang w:val="sr-Cyrl-RS"/>
        </w:rPr>
        <w:t>Заинтересоване банке достављају оригинал или оверене фотокопије следећих докумената:</w:t>
      </w:r>
    </w:p>
    <w:p w14:paraId="45ECF518" w14:textId="77777777" w:rsidR="00A64040" w:rsidRPr="00AC2AB6" w:rsidRDefault="00A64040" w:rsidP="00A64040">
      <w:pPr>
        <w:numPr>
          <w:ilvl w:val="0"/>
          <w:numId w:val="14"/>
        </w:numPr>
        <w:shd w:val="clear" w:color="auto" w:fill="FFFFFF"/>
        <w:spacing w:after="0" w:line="240" w:lineRule="auto"/>
        <w:jc w:val="both"/>
        <w:textAlignment w:val="baseline"/>
        <w:rPr>
          <w:rFonts w:ascii="Times New Roman" w:eastAsiaTheme="minorEastAsia" w:hAnsi="Times New Roman" w:cs="Times New Roman"/>
          <w:sz w:val="24"/>
          <w:szCs w:val="24"/>
          <w:lang w:val="sr-Cyrl-RS"/>
        </w:rPr>
      </w:pPr>
      <w:r w:rsidRPr="00AC2AB6">
        <w:rPr>
          <w:rFonts w:ascii="Times New Roman" w:eastAsiaTheme="minorEastAsia" w:hAnsi="Times New Roman" w:cs="Times New Roman"/>
          <w:sz w:val="24"/>
          <w:szCs w:val="24"/>
          <w:lang w:val="sr-Cyrl-RS"/>
        </w:rPr>
        <w:t>попуњен Прилог 1;</w:t>
      </w:r>
    </w:p>
    <w:p w14:paraId="2E836F10" w14:textId="77777777" w:rsidR="00A64040" w:rsidRPr="00AC2AB6" w:rsidRDefault="00A64040" w:rsidP="00A64040">
      <w:pPr>
        <w:numPr>
          <w:ilvl w:val="0"/>
          <w:numId w:val="14"/>
        </w:numPr>
        <w:shd w:val="clear" w:color="auto" w:fill="FFFFFF"/>
        <w:spacing w:after="0" w:line="240" w:lineRule="auto"/>
        <w:jc w:val="both"/>
        <w:textAlignment w:val="baseline"/>
        <w:rPr>
          <w:rFonts w:ascii="Times New Roman" w:eastAsiaTheme="minorEastAsia" w:hAnsi="Times New Roman" w:cs="Times New Roman"/>
          <w:sz w:val="24"/>
          <w:szCs w:val="24"/>
          <w:lang w:val="sr-Cyrl-RS"/>
        </w:rPr>
      </w:pPr>
      <w:r w:rsidRPr="00AC2AB6">
        <w:rPr>
          <w:rFonts w:ascii="Times New Roman" w:eastAsiaTheme="minorEastAsia" w:hAnsi="Times New Roman" w:cs="Times New Roman"/>
          <w:sz w:val="24"/>
          <w:szCs w:val="24"/>
          <w:lang w:val="sr-Cyrl-RS"/>
        </w:rPr>
        <w:t>образац са потписом лица овлашћених за заступање (ОП образац).</w:t>
      </w:r>
    </w:p>
    <w:p w14:paraId="03488E62" w14:textId="77777777" w:rsidR="00A64040" w:rsidRPr="00AC2AB6" w:rsidRDefault="00A64040" w:rsidP="00A64040">
      <w:pPr>
        <w:shd w:val="clear" w:color="auto" w:fill="FFFFFF"/>
        <w:spacing w:after="225" w:line="240" w:lineRule="auto"/>
        <w:jc w:val="both"/>
        <w:textAlignment w:val="baseline"/>
        <w:rPr>
          <w:rFonts w:ascii="Times New Roman" w:eastAsiaTheme="minorEastAsia" w:hAnsi="Times New Roman" w:cs="Times New Roman"/>
          <w:sz w:val="24"/>
          <w:szCs w:val="24"/>
          <w:lang w:val="sr-Cyrl-RS"/>
        </w:rPr>
      </w:pPr>
      <w:r w:rsidRPr="00AC2AB6">
        <w:rPr>
          <w:rFonts w:ascii="Times New Roman" w:eastAsiaTheme="minorEastAsia" w:hAnsi="Times New Roman" w:cs="Times New Roman"/>
          <w:sz w:val="24"/>
          <w:szCs w:val="24"/>
          <w:lang w:val="sr-Cyrl-RS"/>
        </w:rPr>
        <w:t> </w:t>
      </w:r>
    </w:p>
    <w:p w14:paraId="5DD3309B" w14:textId="2708848B" w:rsidR="00093574" w:rsidRPr="00AC2AB6" w:rsidRDefault="00CD4D26" w:rsidP="00093574">
      <w:pPr>
        <w:pStyle w:val="ListParagraph"/>
        <w:tabs>
          <w:tab w:val="left" w:pos="567"/>
        </w:tabs>
        <w:ind w:left="0"/>
        <w:jc w:val="both"/>
        <w:rPr>
          <w:rFonts w:ascii="Times New Roman" w:eastAsia="Times New Roman" w:hAnsi="Times New Roman" w:cs="Times New Roman"/>
          <w:lang w:val="sr-Cyrl-RS"/>
        </w:rPr>
      </w:pPr>
      <w:r w:rsidRPr="00AC2AB6">
        <w:rPr>
          <w:rFonts w:ascii="Times New Roman" w:eastAsia="Times New Roman" w:hAnsi="Times New Roman" w:cs="Times New Roman"/>
          <w:lang w:val="sr-Cyrl-RS"/>
        </w:rPr>
        <w:t>Пр</w:t>
      </w:r>
      <w:r w:rsidR="00093574" w:rsidRPr="00AC2AB6">
        <w:rPr>
          <w:rFonts w:ascii="Times New Roman" w:eastAsia="Times New Roman" w:hAnsi="Times New Roman" w:cs="Times New Roman"/>
          <w:lang w:val="sr-Cyrl-RS"/>
        </w:rPr>
        <w:t xml:space="preserve">ијаве се предају у затвореној коверти са назнаком </w:t>
      </w:r>
      <w:r w:rsidR="00093574" w:rsidRPr="00AC2AB6">
        <w:rPr>
          <w:rFonts w:ascii="Times New Roman" w:hAnsi="Times New Roman" w:cs="Times New Roman"/>
          <w:lang w:val="sr-Cyrl-RS"/>
        </w:rPr>
        <w:t>„Пријава за Јавни позив за учешће пословних банака у реализацији Програма промоције предузетништва и самозапошљавања – НЕ ОТВАРАТИ“, са пуном адресом пошиљаоца на полеђини коверте.</w:t>
      </w:r>
      <w:r w:rsidR="00093574" w:rsidRPr="00AC2AB6">
        <w:rPr>
          <w:rFonts w:ascii="Times New Roman" w:eastAsia="Times New Roman" w:hAnsi="Times New Roman" w:cs="Times New Roman"/>
          <w:lang w:val="sr-Cyrl-RS"/>
        </w:rPr>
        <w:t xml:space="preserve"> Неблаговремене и непотпуне пријаве неће се разматрати.</w:t>
      </w:r>
    </w:p>
    <w:p w14:paraId="09FC9F0D" w14:textId="77777777" w:rsidR="00093574" w:rsidRPr="00AC2AB6" w:rsidRDefault="00093574" w:rsidP="00093574">
      <w:pPr>
        <w:pStyle w:val="ListParagraph"/>
        <w:tabs>
          <w:tab w:val="left" w:pos="567"/>
        </w:tabs>
        <w:ind w:left="0"/>
        <w:jc w:val="both"/>
        <w:rPr>
          <w:rFonts w:ascii="Times New Roman" w:eastAsia="Times New Roman" w:hAnsi="Times New Roman" w:cs="Times New Roman"/>
          <w:lang w:val="sr-Cyrl-RS"/>
        </w:rPr>
      </w:pPr>
    </w:p>
    <w:p w14:paraId="098F2BAD" w14:textId="0AED3504" w:rsidR="00093574" w:rsidRPr="00AC2AB6" w:rsidRDefault="00093574" w:rsidP="00CD4D26">
      <w:pPr>
        <w:jc w:val="both"/>
        <w:rPr>
          <w:rFonts w:ascii="Times New Roman" w:eastAsiaTheme="minorEastAsia" w:hAnsi="Times New Roman" w:cs="Times New Roman"/>
          <w:sz w:val="24"/>
          <w:szCs w:val="24"/>
          <w:lang w:val="sr-Cyrl-RS"/>
        </w:rPr>
      </w:pPr>
      <w:r w:rsidRPr="00AC2AB6">
        <w:rPr>
          <w:rFonts w:ascii="Times New Roman" w:eastAsiaTheme="minorEastAsia" w:hAnsi="Times New Roman" w:cs="Times New Roman"/>
          <w:sz w:val="24"/>
          <w:szCs w:val="24"/>
          <w:lang w:val="sr-Cyrl-RS"/>
        </w:rPr>
        <w:t>Пријава се предаје лично или препоручено поштом на адресу:</w:t>
      </w:r>
    </w:p>
    <w:p w14:paraId="49179B1E" w14:textId="614F5047" w:rsidR="00093574" w:rsidRPr="00AC2AB6" w:rsidRDefault="00093574" w:rsidP="00CD4D26">
      <w:pPr>
        <w:jc w:val="both"/>
        <w:rPr>
          <w:rFonts w:ascii="Times New Roman" w:eastAsiaTheme="minorEastAsia" w:hAnsi="Times New Roman" w:cs="Times New Roman"/>
          <w:b/>
          <w:bCs/>
          <w:sz w:val="24"/>
          <w:szCs w:val="24"/>
          <w:lang w:val="sr-Cyrl-RS"/>
        </w:rPr>
      </w:pPr>
      <w:r w:rsidRPr="00AC2AB6">
        <w:rPr>
          <w:rFonts w:ascii="Times New Roman" w:eastAsiaTheme="minorEastAsia" w:hAnsi="Times New Roman" w:cs="Times New Roman"/>
          <w:b/>
          <w:bCs/>
          <w:sz w:val="24"/>
          <w:szCs w:val="24"/>
          <w:lang w:val="sr-Cyrl-RS"/>
        </w:rPr>
        <w:t>Канцеларија за управљање јавним улагањима – писарница Управе за заједничке послове</w:t>
      </w:r>
    </w:p>
    <w:p w14:paraId="3AC7A682" w14:textId="3C4F34E5" w:rsidR="00093574" w:rsidRPr="00AC2AB6" w:rsidRDefault="00093574" w:rsidP="00CD4D26">
      <w:pPr>
        <w:jc w:val="both"/>
        <w:rPr>
          <w:rFonts w:ascii="Times New Roman" w:eastAsiaTheme="minorEastAsia" w:hAnsi="Times New Roman" w:cs="Times New Roman"/>
          <w:b/>
          <w:bCs/>
          <w:sz w:val="24"/>
          <w:szCs w:val="24"/>
          <w:lang w:val="sr-Cyrl-RS"/>
        </w:rPr>
      </w:pPr>
      <w:r w:rsidRPr="00AC2AB6">
        <w:rPr>
          <w:rFonts w:ascii="Times New Roman" w:eastAsiaTheme="minorEastAsia" w:hAnsi="Times New Roman" w:cs="Times New Roman"/>
          <w:b/>
          <w:bCs/>
          <w:sz w:val="24"/>
          <w:szCs w:val="24"/>
          <w:lang w:val="sr-Cyrl-RS"/>
        </w:rPr>
        <w:t>Нема</w:t>
      </w:r>
      <w:r w:rsidR="00AC2AB6" w:rsidRPr="00AC2AB6">
        <w:rPr>
          <w:rFonts w:ascii="Times New Roman" w:eastAsiaTheme="minorEastAsia" w:hAnsi="Times New Roman" w:cs="Times New Roman"/>
          <w:b/>
          <w:bCs/>
          <w:sz w:val="24"/>
          <w:szCs w:val="24"/>
          <w:lang w:val="sr-Cyrl-RS"/>
        </w:rPr>
        <w:t>њ</w:t>
      </w:r>
      <w:r w:rsidRPr="00AC2AB6">
        <w:rPr>
          <w:rFonts w:ascii="Times New Roman" w:eastAsiaTheme="minorEastAsia" w:hAnsi="Times New Roman" w:cs="Times New Roman"/>
          <w:b/>
          <w:bCs/>
          <w:sz w:val="24"/>
          <w:szCs w:val="24"/>
          <w:lang w:val="sr-Cyrl-RS"/>
        </w:rPr>
        <w:t>ина број 22-26</w:t>
      </w:r>
    </w:p>
    <w:p w14:paraId="6E62AB2C" w14:textId="77777777" w:rsidR="00093574" w:rsidRPr="00AC2AB6" w:rsidRDefault="00093574" w:rsidP="00CD4D26">
      <w:pPr>
        <w:jc w:val="both"/>
        <w:rPr>
          <w:rFonts w:ascii="Times New Roman" w:eastAsiaTheme="minorEastAsia" w:hAnsi="Times New Roman" w:cs="Times New Roman"/>
          <w:sz w:val="24"/>
          <w:szCs w:val="24"/>
          <w:lang w:val="sr-Cyrl-RS"/>
        </w:rPr>
      </w:pPr>
      <w:r w:rsidRPr="00AC2AB6">
        <w:rPr>
          <w:rFonts w:ascii="Times New Roman" w:eastAsiaTheme="minorEastAsia" w:hAnsi="Times New Roman" w:cs="Times New Roman"/>
          <w:b/>
          <w:bCs/>
          <w:sz w:val="24"/>
          <w:szCs w:val="24"/>
          <w:lang w:val="sr-Cyrl-RS"/>
        </w:rPr>
        <w:t>11 000 Београд</w:t>
      </w:r>
    </w:p>
    <w:p w14:paraId="04D35437" w14:textId="43852376" w:rsidR="00093574" w:rsidRPr="00AC2AB6" w:rsidRDefault="00093574" w:rsidP="00093574">
      <w:pPr>
        <w:pStyle w:val="ListParagraph"/>
        <w:tabs>
          <w:tab w:val="left" w:pos="567"/>
        </w:tabs>
        <w:ind w:left="0"/>
        <w:jc w:val="both"/>
        <w:rPr>
          <w:rFonts w:ascii="Times New Roman" w:eastAsia="Times New Roman" w:hAnsi="Times New Roman" w:cs="Times New Roman"/>
          <w:b/>
          <w:bCs/>
          <w:lang w:val="sr-Cyrl-RS"/>
        </w:rPr>
      </w:pPr>
      <w:r w:rsidRPr="00AC2AB6">
        <w:rPr>
          <w:rFonts w:ascii="Times New Roman" w:eastAsia="Times New Roman" w:hAnsi="Times New Roman" w:cs="Times New Roman"/>
          <w:lang w:val="sr-Cyrl-RS"/>
        </w:rPr>
        <w:t>Рок за подношење пријава је</w:t>
      </w:r>
      <w:r w:rsidR="00334EE2" w:rsidRPr="00AC2AB6">
        <w:rPr>
          <w:rFonts w:ascii="Times New Roman" w:eastAsia="Times New Roman" w:hAnsi="Times New Roman" w:cs="Times New Roman"/>
          <w:lang w:val="sr-Cyrl-RS"/>
        </w:rPr>
        <w:t xml:space="preserve"> </w:t>
      </w:r>
      <w:r w:rsidR="00334EE2" w:rsidRPr="00AC2AB6">
        <w:rPr>
          <w:rFonts w:ascii="Times New Roman" w:eastAsia="Times New Roman" w:hAnsi="Times New Roman" w:cs="Times New Roman"/>
          <w:b/>
          <w:bCs/>
          <w:lang w:val="sr-Cyrl-RS"/>
        </w:rPr>
        <w:t>21.</w:t>
      </w:r>
      <w:r w:rsidR="0095258C" w:rsidRPr="00AC2AB6">
        <w:rPr>
          <w:rFonts w:ascii="Times New Roman" w:eastAsia="Times New Roman" w:hAnsi="Times New Roman" w:cs="Times New Roman"/>
          <w:b/>
          <w:bCs/>
          <w:lang w:val="sr-Cyrl-RS"/>
        </w:rPr>
        <w:t>08.</w:t>
      </w:r>
      <w:r w:rsidRPr="00AC2AB6">
        <w:rPr>
          <w:rFonts w:ascii="Times New Roman" w:eastAsia="Times New Roman" w:hAnsi="Times New Roman" w:cs="Times New Roman"/>
          <w:b/>
          <w:bCs/>
          <w:lang w:val="sr-Cyrl-RS"/>
        </w:rPr>
        <w:t>2019. године.</w:t>
      </w:r>
    </w:p>
    <w:p w14:paraId="5320E344" w14:textId="2FBB7F12" w:rsidR="00093574" w:rsidRPr="00AC2AB6" w:rsidRDefault="00093574" w:rsidP="00093574">
      <w:pPr>
        <w:pStyle w:val="ListParagraph"/>
        <w:tabs>
          <w:tab w:val="left" w:pos="567"/>
        </w:tabs>
        <w:ind w:left="0"/>
        <w:jc w:val="both"/>
        <w:rPr>
          <w:rFonts w:ascii="Times New Roman" w:eastAsia="Times New Roman" w:hAnsi="Times New Roman" w:cs="Times New Roman"/>
          <w:b/>
          <w:bCs/>
          <w:lang w:val="sr-Cyrl-RS"/>
        </w:rPr>
      </w:pPr>
    </w:p>
    <w:p w14:paraId="5E7AC202" w14:textId="7C956995" w:rsidR="00093574" w:rsidRPr="00AC2AB6" w:rsidRDefault="00093574" w:rsidP="00AB559A">
      <w:pPr>
        <w:jc w:val="both"/>
        <w:rPr>
          <w:rFonts w:ascii="Times New Roman" w:hAnsi="Times New Roman" w:cs="Times New Roman"/>
          <w:sz w:val="24"/>
          <w:szCs w:val="24"/>
          <w:lang w:val="sr-Cyrl-RS"/>
        </w:rPr>
      </w:pPr>
      <w:r w:rsidRPr="00AC2AB6">
        <w:rPr>
          <w:rFonts w:ascii="Times New Roman" w:eastAsiaTheme="minorEastAsia" w:hAnsi="Times New Roman" w:cs="Times New Roman"/>
          <w:sz w:val="24"/>
          <w:szCs w:val="24"/>
          <w:lang w:val="sr-Cyrl-RS"/>
        </w:rPr>
        <w:t xml:space="preserve">На интернет страни Канцеларије за управљање јавним улагањима на адреси: </w:t>
      </w:r>
      <w:hyperlink r:id="rId6" w:history="1">
        <w:r w:rsidR="00AB559A" w:rsidRPr="00AC2AB6">
          <w:rPr>
            <w:rStyle w:val="Hyperlink"/>
            <w:rFonts w:ascii="Times New Roman" w:eastAsiaTheme="minorEastAsia" w:hAnsi="Times New Roman" w:cs="Times New Roman"/>
            <w:sz w:val="24"/>
            <w:szCs w:val="24"/>
            <w:lang w:val="sr-Cyrl-RS"/>
          </w:rPr>
          <w:t>www.obnova.gov.rs</w:t>
        </w:r>
      </w:hyperlink>
      <w:r w:rsidR="00AB559A" w:rsidRPr="00AC2AB6">
        <w:rPr>
          <w:rFonts w:ascii="Times New Roman" w:eastAsiaTheme="minorEastAsia" w:hAnsi="Times New Roman" w:cs="Times New Roman"/>
          <w:sz w:val="24"/>
          <w:szCs w:val="24"/>
          <w:lang w:val="sr-Cyrl-RS"/>
        </w:rPr>
        <w:t xml:space="preserve"> </w:t>
      </w:r>
      <w:r w:rsidRPr="00AC2AB6">
        <w:rPr>
          <w:rFonts w:ascii="Times New Roman" w:eastAsiaTheme="minorEastAsia" w:hAnsi="Times New Roman" w:cs="Times New Roman"/>
          <w:sz w:val="24"/>
          <w:szCs w:val="24"/>
          <w:lang w:val="sr-Cyrl-RS"/>
        </w:rPr>
        <w:t>може се преузети неопходна конкурсна документација за учешће у Програму</w:t>
      </w:r>
      <w:r w:rsidR="005E3CCD" w:rsidRPr="00AC2AB6">
        <w:rPr>
          <w:rFonts w:ascii="Times New Roman" w:eastAsiaTheme="minorEastAsia" w:hAnsi="Times New Roman" w:cs="Times New Roman"/>
          <w:sz w:val="24"/>
          <w:szCs w:val="24"/>
          <w:lang w:val="sr-Cyrl-RS"/>
        </w:rPr>
        <w:t>, Прилог 1</w:t>
      </w:r>
      <w:r w:rsidRPr="00AC2AB6">
        <w:rPr>
          <w:rFonts w:ascii="Times New Roman" w:eastAsiaTheme="minorEastAsia" w:hAnsi="Times New Roman" w:cs="Times New Roman"/>
          <w:sz w:val="24"/>
          <w:szCs w:val="24"/>
          <w:lang w:val="sr-Cyrl-RS"/>
        </w:rPr>
        <w:t xml:space="preserve"> као и Програм промоције предузетништва и самозапошљавања, нацрт Уговора  о </w:t>
      </w:r>
      <w:r w:rsidR="00AB559A" w:rsidRPr="00AC2AB6">
        <w:rPr>
          <w:rFonts w:ascii="Times New Roman" w:eastAsiaTheme="minorEastAsia" w:hAnsi="Times New Roman" w:cs="Times New Roman"/>
          <w:sz w:val="24"/>
          <w:szCs w:val="24"/>
          <w:lang w:val="sr-Cyrl-RS"/>
        </w:rPr>
        <w:t xml:space="preserve">уређивању међусобних односа у спровођењу Програма промоције </w:t>
      </w:r>
      <w:r w:rsidR="00AB559A" w:rsidRPr="00AC2AB6">
        <w:rPr>
          <w:rFonts w:ascii="Times New Roman" w:eastAsiaTheme="minorEastAsia" w:hAnsi="Times New Roman" w:cs="Times New Roman"/>
          <w:sz w:val="24"/>
          <w:szCs w:val="24"/>
          <w:lang w:val="sr-Cyrl-RS"/>
        </w:rPr>
        <w:lastRenderedPageBreak/>
        <w:t>предузетништва и самозапошљавања</w:t>
      </w:r>
      <w:r w:rsidRPr="00AC2AB6">
        <w:rPr>
          <w:rFonts w:ascii="Times New Roman" w:eastAsiaTheme="minorEastAsia" w:hAnsi="Times New Roman" w:cs="Times New Roman"/>
          <w:sz w:val="24"/>
          <w:szCs w:val="24"/>
          <w:lang w:val="sr-Cyrl-RS"/>
        </w:rPr>
        <w:t xml:space="preserve">, </w:t>
      </w:r>
      <w:r w:rsidR="00AB559A" w:rsidRPr="00AC2AB6">
        <w:rPr>
          <w:rFonts w:ascii="Times New Roman" w:eastAsiaTheme="minorEastAsia" w:hAnsi="Times New Roman" w:cs="Times New Roman"/>
          <w:sz w:val="24"/>
          <w:szCs w:val="24"/>
          <w:lang w:val="sr-Cyrl-RS"/>
        </w:rPr>
        <w:t xml:space="preserve">Нацрт Уговора о издавању гаранције Нацрт Уговора о додели бесповратних средстава у оквиру Програма, </w:t>
      </w:r>
      <w:r w:rsidRPr="00AC2AB6">
        <w:rPr>
          <w:rFonts w:ascii="Times New Roman" w:eastAsiaTheme="minorEastAsia" w:hAnsi="Times New Roman" w:cs="Times New Roman"/>
          <w:sz w:val="24"/>
          <w:szCs w:val="24"/>
          <w:lang w:val="sr-Cyrl-RS"/>
        </w:rPr>
        <w:t>у којима су ближе дефинисани сви битни елементи и правила за учешће у овом Јавном позиву.</w:t>
      </w:r>
    </w:p>
    <w:p w14:paraId="2671A464" w14:textId="123C0645" w:rsidR="00093574" w:rsidRPr="00AC2AB6" w:rsidRDefault="00093574" w:rsidP="00093574">
      <w:pPr>
        <w:pStyle w:val="NormalWeb"/>
        <w:shd w:val="clear" w:color="auto" w:fill="FFFFFF"/>
        <w:spacing w:before="0" w:beforeAutospacing="0" w:after="0" w:afterAutospacing="0"/>
        <w:jc w:val="both"/>
        <w:textAlignment w:val="baseline"/>
        <w:rPr>
          <w:rFonts w:eastAsiaTheme="minorEastAsia"/>
          <w:lang w:val="sr-Cyrl-RS"/>
        </w:rPr>
      </w:pPr>
      <w:r w:rsidRPr="00AC2AB6">
        <w:rPr>
          <w:rFonts w:eastAsiaTheme="minorEastAsia"/>
          <w:lang w:val="sr-Cyrl-RS"/>
        </w:rPr>
        <w:t>Све додатне информације могу се добити на телефон: 011 3</w:t>
      </w:r>
      <w:r w:rsidR="00A64040" w:rsidRPr="00AC2AB6">
        <w:rPr>
          <w:rFonts w:eastAsiaTheme="minorEastAsia"/>
          <w:lang w:val="sr-Cyrl-RS"/>
        </w:rPr>
        <w:t>617 584</w:t>
      </w:r>
      <w:r w:rsidRPr="00AC2AB6">
        <w:rPr>
          <w:rFonts w:eastAsiaTheme="minorEastAsia"/>
          <w:lang w:val="sr-Cyrl-RS"/>
        </w:rPr>
        <w:t xml:space="preserve"> или путем е-мајл адресе: </w:t>
      </w:r>
      <w:hyperlink r:id="rId7" w:history="1">
        <w:r w:rsidR="00A64040" w:rsidRPr="00AC2AB6">
          <w:rPr>
            <w:rStyle w:val="Hyperlink"/>
            <w:rFonts w:eastAsiaTheme="minorEastAsia"/>
            <w:lang w:val="sr-Cyrl-RS"/>
          </w:rPr>
          <w:t>kabinet@obnova.gov.rs</w:t>
        </w:r>
      </w:hyperlink>
    </w:p>
    <w:p w14:paraId="3A526F9D" w14:textId="0A726B29" w:rsidR="00093574" w:rsidRPr="00AC2AB6" w:rsidRDefault="00093574" w:rsidP="00A64040">
      <w:pPr>
        <w:pStyle w:val="NormalWeb"/>
        <w:shd w:val="clear" w:color="auto" w:fill="FFFFFF"/>
        <w:spacing w:before="0" w:beforeAutospacing="0" w:after="225" w:afterAutospacing="0"/>
        <w:jc w:val="both"/>
        <w:textAlignment w:val="baseline"/>
        <w:rPr>
          <w:b/>
          <w:bCs/>
          <w:lang w:val="sr-Cyrl-RS"/>
        </w:rPr>
      </w:pPr>
      <w:r w:rsidRPr="00AC2AB6">
        <w:rPr>
          <w:color w:val="000000"/>
          <w:lang w:val="sr-Cyrl-RS"/>
        </w:rPr>
        <w:t> </w:t>
      </w:r>
    </w:p>
    <w:p w14:paraId="15794767" w14:textId="77777777" w:rsidR="0086398B" w:rsidRPr="00AC2AB6" w:rsidRDefault="0086398B" w:rsidP="0086398B">
      <w:pPr>
        <w:rPr>
          <w:rFonts w:ascii="Times New Roman" w:eastAsia="Times New Roman" w:hAnsi="Times New Roman" w:cs="Times New Roman"/>
          <w:sz w:val="24"/>
          <w:szCs w:val="24"/>
          <w:lang w:val="sr-Cyrl-RS"/>
        </w:rPr>
      </w:pPr>
      <w:r w:rsidRPr="00AC2AB6">
        <w:rPr>
          <w:rFonts w:ascii="Times New Roman" w:eastAsia="Times New Roman" w:hAnsi="Times New Roman" w:cs="Times New Roman"/>
          <w:b/>
          <w:bCs/>
          <w:sz w:val="24"/>
          <w:szCs w:val="24"/>
          <w:lang w:val="sr-Cyrl-RS"/>
        </w:rPr>
        <w:t>Пратећа документација</w:t>
      </w:r>
      <w:r w:rsidRPr="00AC2AB6">
        <w:rPr>
          <w:rFonts w:ascii="Times New Roman" w:eastAsia="Times New Roman" w:hAnsi="Times New Roman" w:cs="Times New Roman"/>
          <w:sz w:val="24"/>
          <w:szCs w:val="24"/>
          <w:lang w:val="sr-Cyrl-RS"/>
        </w:rPr>
        <w:t>:</w:t>
      </w:r>
    </w:p>
    <w:p w14:paraId="68B507F7" w14:textId="623967C8" w:rsidR="0086398B" w:rsidRPr="00AC2AB6" w:rsidRDefault="0086398B" w:rsidP="0086398B">
      <w:pPr>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1. Текст Јавног позива</w:t>
      </w:r>
    </w:p>
    <w:p w14:paraId="4F4F5552" w14:textId="1B96C03A" w:rsidR="00A64040" w:rsidRPr="00AC2AB6" w:rsidRDefault="00A64040" w:rsidP="0086398B">
      <w:pPr>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 xml:space="preserve">2. </w:t>
      </w:r>
      <w:r w:rsidR="00D15B97" w:rsidRPr="00AC2AB6">
        <w:rPr>
          <w:rFonts w:ascii="Times New Roman" w:eastAsia="Times New Roman" w:hAnsi="Times New Roman" w:cs="Times New Roman"/>
          <w:sz w:val="24"/>
          <w:szCs w:val="24"/>
          <w:lang w:val="sr-Cyrl-RS"/>
        </w:rPr>
        <w:t>Прилог 1.</w:t>
      </w:r>
    </w:p>
    <w:p w14:paraId="03FF8EDD" w14:textId="7F6063DC" w:rsidR="0086398B" w:rsidRPr="00AC2AB6" w:rsidRDefault="0086398B" w:rsidP="00D016D9">
      <w:pPr>
        <w:jc w:val="both"/>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 xml:space="preserve">2. </w:t>
      </w:r>
      <w:r w:rsidR="00D016D9" w:rsidRPr="00AC2AB6">
        <w:rPr>
          <w:rFonts w:ascii="Times New Roman" w:eastAsia="Times New Roman" w:hAnsi="Times New Roman" w:cs="Times New Roman"/>
          <w:sz w:val="24"/>
          <w:szCs w:val="24"/>
          <w:lang w:val="sr-Cyrl-RS"/>
        </w:rPr>
        <w:t>Закључ</w:t>
      </w:r>
      <w:r w:rsidR="00E54405" w:rsidRPr="00AC2AB6">
        <w:rPr>
          <w:rFonts w:ascii="Times New Roman" w:eastAsia="Times New Roman" w:hAnsi="Times New Roman" w:cs="Times New Roman"/>
          <w:sz w:val="24"/>
          <w:szCs w:val="24"/>
          <w:lang w:val="sr-Cyrl-RS"/>
        </w:rPr>
        <w:t>a</w:t>
      </w:r>
      <w:r w:rsidR="00D016D9" w:rsidRPr="00AC2AB6">
        <w:rPr>
          <w:rFonts w:ascii="Times New Roman" w:eastAsia="Times New Roman" w:hAnsi="Times New Roman" w:cs="Times New Roman"/>
          <w:sz w:val="24"/>
          <w:szCs w:val="24"/>
          <w:lang w:val="sr-Cyrl-RS"/>
        </w:rPr>
        <w:t xml:space="preserve">к Владе </w:t>
      </w:r>
      <w:r w:rsidR="00A64040" w:rsidRPr="00AC2AB6">
        <w:rPr>
          <w:rFonts w:ascii="Times New Roman" w:eastAsia="Times New Roman" w:hAnsi="Times New Roman" w:cs="Times New Roman"/>
          <w:sz w:val="24"/>
          <w:szCs w:val="24"/>
          <w:lang w:val="sr-Cyrl-RS"/>
        </w:rPr>
        <w:t xml:space="preserve">05 Број: 401-7329/2019 од 18.07.2019. године </w:t>
      </w:r>
      <w:r w:rsidR="00D016D9" w:rsidRPr="00AC2AB6">
        <w:rPr>
          <w:rFonts w:ascii="Times New Roman" w:eastAsia="Times New Roman" w:hAnsi="Times New Roman" w:cs="Times New Roman"/>
          <w:sz w:val="24"/>
          <w:szCs w:val="24"/>
          <w:lang w:val="sr-Cyrl-RS"/>
        </w:rPr>
        <w:t>којим се усваја Програм промоције предузетништва и самозапошљавања;</w:t>
      </w:r>
    </w:p>
    <w:p w14:paraId="73E02BB8" w14:textId="77777777" w:rsidR="00BB57AD" w:rsidRPr="00AC2AB6" w:rsidRDefault="00BB57AD" w:rsidP="00BB57AD">
      <w:pPr>
        <w:jc w:val="both"/>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 xml:space="preserve">3. Нацрт Уговора </w:t>
      </w:r>
      <w:bookmarkStart w:id="0" w:name="_Hlk15629500"/>
      <w:r w:rsidRPr="00AC2AB6">
        <w:rPr>
          <w:rFonts w:ascii="Times New Roman" w:eastAsia="Times New Roman" w:hAnsi="Times New Roman" w:cs="Times New Roman"/>
          <w:sz w:val="24"/>
          <w:szCs w:val="24"/>
          <w:lang w:val="sr-Cyrl-RS"/>
        </w:rPr>
        <w:t>о уређивању међусобних односа у спровођењу Програма промоције предузетништва и самозапошљавања</w:t>
      </w:r>
      <w:bookmarkEnd w:id="0"/>
      <w:r w:rsidRPr="00AC2AB6">
        <w:rPr>
          <w:rFonts w:ascii="Times New Roman" w:eastAsia="Times New Roman" w:hAnsi="Times New Roman" w:cs="Times New Roman"/>
          <w:sz w:val="24"/>
          <w:szCs w:val="24"/>
          <w:lang w:val="sr-Cyrl-RS"/>
        </w:rPr>
        <w:t>;</w:t>
      </w:r>
    </w:p>
    <w:p w14:paraId="79317012" w14:textId="77777777" w:rsidR="00BB57AD" w:rsidRPr="00AC2AB6" w:rsidRDefault="00BB57AD" w:rsidP="00BB57AD">
      <w:pPr>
        <w:jc w:val="both"/>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4. Нацрт Уговора о издавању гаранције;</w:t>
      </w:r>
    </w:p>
    <w:p w14:paraId="27B43CA3" w14:textId="581A2601" w:rsidR="00BB57AD" w:rsidRPr="00AC2AB6" w:rsidRDefault="00BB57AD" w:rsidP="00BB57AD">
      <w:pPr>
        <w:jc w:val="both"/>
        <w:rPr>
          <w:rFonts w:ascii="Times New Roman" w:eastAsia="Times New Roman" w:hAnsi="Times New Roman" w:cs="Times New Roman"/>
          <w:sz w:val="24"/>
          <w:szCs w:val="24"/>
          <w:lang w:val="sr-Cyrl-RS"/>
        </w:rPr>
      </w:pPr>
      <w:r w:rsidRPr="00AC2AB6">
        <w:rPr>
          <w:rFonts w:ascii="Times New Roman" w:eastAsia="Times New Roman" w:hAnsi="Times New Roman" w:cs="Times New Roman"/>
          <w:sz w:val="24"/>
          <w:szCs w:val="24"/>
          <w:lang w:val="sr-Cyrl-RS"/>
        </w:rPr>
        <w:t>6. Нацрт Уговора о додели бесповратних средстава у оквиру Програма.</w:t>
      </w:r>
    </w:p>
    <w:p w14:paraId="34B68765" w14:textId="2D479ADB" w:rsidR="00D016D9" w:rsidRPr="00AC2AB6" w:rsidRDefault="00D016D9" w:rsidP="0086398B">
      <w:pPr>
        <w:rPr>
          <w:rFonts w:ascii="Times New Roman" w:eastAsia="Times New Roman" w:hAnsi="Times New Roman" w:cs="Times New Roman"/>
          <w:sz w:val="24"/>
          <w:szCs w:val="24"/>
          <w:lang w:val="sr-Cyrl-RS"/>
        </w:rPr>
      </w:pPr>
      <w:bookmarkStart w:id="1" w:name="_GoBack"/>
      <w:bookmarkEnd w:id="1"/>
    </w:p>
    <w:sectPr w:rsidR="00D016D9" w:rsidRPr="00AC2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D1BBC"/>
    <w:multiLevelType w:val="hybridMultilevel"/>
    <w:tmpl w:val="46AA5D5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852D4B"/>
    <w:multiLevelType w:val="hybridMultilevel"/>
    <w:tmpl w:val="9800A6B8"/>
    <w:lvl w:ilvl="0" w:tplc="EC28651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741A36"/>
    <w:multiLevelType w:val="hybridMultilevel"/>
    <w:tmpl w:val="80D4ED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B84C03"/>
    <w:multiLevelType w:val="hybridMultilevel"/>
    <w:tmpl w:val="CA50D684"/>
    <w:lvl w:ilvl="0" w:tplc="EC28651E">
      <w:numFmt w:val="bullet"/>
      <w:lvlText w:val="-"/>
      <w:lvlJc w:val="left"/>
      <w:pPr>
        <w:ind w:left="436" w:hanging="360"/>
      </w:pPr>
      <w:rPr>
        <w:rFonts w:ascii="Arial" w:eastAsia="Times New Roman" w:hAnsi="Arial" w:cs="Arial" w:hint="default"/>
      </w:rPr>
    </w:lvl>
    <w:lvl w:ilvl="1" w:tplc="241A0003" w:tentative="1">
      <w:start w:val="1"/>
      <w:numFmt w:val="bullet"/>
      <w:lvlText w:val="o"/>
      <w:lvlJc w:val="left"/>
      <w:pPr>
        <w:ind w:left="1156" w:hanging="360"/>
      </w:pPr>
      <w:rPr>
        <w:rFonts w:ascii="Courier New" w:hAnsi="Courier New" w:cs="Courier New" w:hint="default"/>
      </w:rPr>
    </w:lvl>
    <w:lvl w:ilvl="2" w:tplc="241A0005" w:tentative="1">
      <w:start w:val="1"/>
      <w:numFmt w:val="bullet"/>
      <w:lvlText w:val=""/>
      <w:lvlJc w:val="left"/>
      <w:pPr>
        <w:ind w:left="1876" w:hanging="360"/>
      </w:pPr>
      <w:rPr>
        <w:rFonts w:ascii="Wingdings" w:hAnsi="Wingdings" w:hint="default"/>
      </w:rPr>
    </w:lvl>
    <w:lvl w:ilvl="3" w:tplc="241A0001" w:tentative="1">
      <w:start w:val="1"/>
      <w:numFmt w:val="bullet"/>
      <w:lvlText w:val=""/>
      <w:lvlJc w:val="left"/>
      <w:pPr>
        <w:ind w:left="2596" w:hanging="360"/>
      </w:pPr>
      <w:rPr>
        <w:rFonts w:ascii="Symbol" w:hAnsi="Symbol" w:hint="default"/>
      </w:rPr>
    </w:lvl>
    <w:lvl w:ilvl="4" w:tplc="241A0003" w:tentative="1">
      <w:start w:val="1"/>
      <w:numFmt w:val="bullet"/>
      <w:lvlText w:val="o"/>
      <w:lvlJc w:val="left"/>
      <w:pPr>
        <w:ind w:left="3316" w:hanging="360"/>
      </w:pPr>
      <w:rPr>
        <w:rFonts w:ascii="Courier New" w:hAnsi="Courier New" w:cs="Courier New" w:hint="default"/>
      </w:rPr>
    </w:lvl>
    <w:lvl w:ilvl="5" w:tplc="241A0005" w:tentative="1">
      <w:start w:val="1"/>
      <w:numFmt w:val="bullet"/>
      <w:lvlText w:val=""/>
      <w:lvlJc w:val="left"/>
      <w:pPr>
        <w:ind w:left="4036" w:hanging="360"/>
      </w:pPr>
      <w:rPr>
        <w:rFonts w:ascii="Wingdings" w:hAnsi="Wingdings" w:hint="default"/>
      </w:rPr>
    </w:lvl>
    <w:lvl w:ilvl="6" w:tplc="241A0001" w:tentative="1">
      <w:start w:val="1"/>
      <w:numFmt w:val="bullet"/>
      <w:lvlText w:val=""/>
      <w:lvlJc w:val="left"/>
      <w:pPr>
        <w:ind w:left="4756" w:hanging="360"/>
      </w:pPr>
      <w:rPr>
        <w:rFonts w:ascii="Symbol" w:hAnsi="Symbol" w:hint="default"/>
      </w:rPr>
    </w:lvl>
    <w:lvl w:ilvl="7" w:tplc="241A0003" w:tentative="1">
      <w:start w:val="1"/>
      <w:numFmt w:val="bullet"/>
      <w:lvlText w:val="o"/>
      <w:lvlJc w:val="left"/>
      <w:pPr>
        <w:ind w:left="5476" w:hanging="360"/>
      </w:pPr>
      <w:rPr>
        <w:rFonts w:ascii="Courier New" w:hAnsi="Courier New" w:cs="Courier New" w:hint="default"/>
      </w:rPr>
    </w:lvl>
    <w:lvl w:ilvl="8" w:tplc="241A0005" w:tentative="1">
      <w:start w:val="1"/>
      <w:numFmt w:val="bullet"/>
      <w:lvlText w:val=""/>
      <w:lvlJc w:val="left"/>
      <w:pPr>
        <w:ind w:left="6196" w:hanging="360"/>
      </w:pPr>
      <w:rPr>
        <w:rFonts w:ascii="Wingdings" w:hAnsi="Wingdings" w:hint="default"/>
      </w:rPr>
    </w:lvl>
  </w:abstractNum>
  <w:abstractNum w:abstractNumId="4" w15:restartNumberingAfterBreak="0">
    <w:nsid w:val="35170062"/>
    <w:multiLevelType w:val="hybridMultilevel"/>
    <w:tmpl w:val="AAE0CC1A"/>
    <w:lvl w:ilvl="0" w:tplc="EC28651E">
      <w:numFmt w:val="bullet"/>
      <w:lvlText w:val="-"/>
      <w:lvlJc w:val="left"/>
      <w:pPr>
        <w:ind w:left="1429" w:hanging="360"/>
      </w:pPr>
      <w:rPr>
        <w:rFonts w:ascii="Arial" w:eastAsia="Times New Roman" w:hAnsi="Arial" w:cs="Arial" w:hint="default"/>
      </w:rPr>
    </w:lvl>
    <w:lvl w:ilvl="1" w:tplc="241A0003" w:tentative="1">
      <w:start w:val="1"/>
      <w:numFmt w:val="bullet"/>
      <w:lvlText w:val="o"/>
      <w:lvlJc w:val="left"/>
      <w:pPr>
        <w:ind w:left="2149" w:hanging="360"/>
      </w:pPr>
      <w:rPr>
        <w:rFonts w:ascii="Courier New" w:hAnsi="Courier New" w:cs="Courier New" w:hint="default"/>
      </w:rPr>
    </w:lvl>
    <w:lvl w:ilvl="2" w:tplc="241A0005" w:tentative="1">
      <w:start w:val="1"/>
      <w:numFmt w:val="bullet"/>
      <w:lvlText w:val=""/>
      <w:lvlJc w:val="left"/>
      <w:pPr>
        <w:ind w:left="2869" w:hanging="360"/>
      </w:pPr>
      <w:rPr>
        <w:rFonts w:ascii="Wingdings" w:hAnsi="Wingdings" w:hint="default"/>
      </w:rPr>
    </w:lvl>
    <w:lvl w:ilvl="3" w:tplc="241A0001" w:tentative="1">
      <w:start w:val="1"/>
      <w:numFmt w:val="bullet"/>
      <w:lvlText w:val=""/>
      <w:lvlJc w:val="left"/>
      <w:pPr>
        <w:ind w:left="3589" w:hanging="360"/>
      </w:pPr>
      <w:rPr>
        <w:rFonts w:ascii="Symbol" w:hAnsi="Symbol" w:hint="default"/>
      </w:rPr>
    </w:lvl>
    <w:lvl w:ilvl="4" w:tplc="241A0003" w:tentative="1">
      <w:start w:val="1"/>
      <w:numFmt w:val="bullet"/>
      <w:lvlText w:val="o"/>
      <w:lvlJc w:val="left"/>
      <w:pPr>
        <w:ind w:left="4309" w:hanging="360"/>
      </w:pPr>
      <w:rPr>
        <w:rFonts w:ascii="Courier New" w:hAnsi="Courier New" w:cs="Courier New" w:hint="default"/>
      </w:rPr>
    </w:lvl>
    <w:lvl w:ilvl="5" w:tplc="241A0005" w:tentative="1">
      <w:start w:val="1"/>
      <w:numFmt w:val="bullet"/>
      <w:lvlText w:val=""/>
      <w:lvlJc w:val="left"/>
      <w:pPr>
        <w:ind w:left="5029" w:hanging="360"/>
      </w:pPr>
      <w:rPr>
        <w:rFonts w:ascii="Wingdings" w:hAnsi="Wingdings" w:hint="default"/>
      </w:rPr>
    </w:lvl>
    <w:lvl w:ilvl="6" w:tplc="241A0001" w:tentative="1">
      <w:start w:val="1"/>
      <w:numFmt w:val="bullet"/>
      <w:lvlText w:val=""/>
      <w:lvlJc w:val="left"/>
      <w:pPr>
        <w:ind w:left="5749" w:hanging="360"/>
      </w:pPr>
      <w:rPr>
        <w:rFonts w:ascii="Symbol" w:hAnsi="Symbol" w:hint="default"/>
      </w:rPr>
    </w:lvl>
    <w:lvl w:ilvl="7" w:tplc="241A0003" w:tentative="1">
      <w:start w:val="1"/>
      <w:numFmt w:val="bullet"/>
      <w:lvlText w:val="o"/>
      <w:lvlJc w:val="left"/>
      <w:pPr>
        <w:ind w:left="6469" w:hanging="360"/>
      </w:pPr>
      <w:rPr>
        <w:rFonts w:ascii="Courier New" w:hAnsi="Courier New" w:cs="Courier New" w:hint="default"/>
      </w:rPr>
    </w:lvl>
    <w:lvl w:ilvl="8" w:tplc="241A0005" w:tentative="1">
      <w:start w:val="1"/>
      <w:numFmt w:val="bullet"/>
      <w:lvlText w:val=""/>
      <w:lvlJc w:val="left"/>
      <w:pPr>
        <w:ind w:left="7189" w:hanging="360"/>
      </w:pPr>
      <w:rPr>
        <w:rFonts w:ascii="Wingdings" w:hAnsi="Wingdings" w:hint="default"/>
      </w:rPr>
    </w:lvl>
  </w:abstractNum>
  <w:abstractNum w:abstractNumId="5" w15:restartNumberingAfterBreak="0">
    <w:nsid w:val="3CCB6F77"/>
    <w:multiLevelType w:val="hybridMultilevel"/>
    <w:tmpl w:val="F86624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1C3156D"/>
    <w:multiLevelType w:val="hybridMultilevel"/>
    <w:tmpl w:val="50EA8BF2"/>
    <w:lvl w:ilvl="0" w:tplc="0809000F">
      <w:start w:val="1"/>
      <w:numFmt w:val="decimal"/>
      <w:lvlText w:val="%1."/>
      <w:lvlJc w:val="left"/>
      <w:pPr>
        <w:ind w:left="720" w:hanging="360"/>
      </w:pPr>
      <w:rPr>
        <w:rFonts w:hint="default"/>
      </w:rPr>
    </w:lvl>
    <w:lvl w:ilvl="1" w:tplc="ABB49D14">
      <w:numFmt w:val="bullet"/>
      <w:lvlText w:val="•"/>
      <w:lvlJc w:val="left"/>
      <w:pPr>
        <w:ind w:left="1440" w:hanging="360"/>
      </w:pPr>
      <w:rPr>
        <w:rFonts w:ascii="Cambria" w:eastAsiaTheme="minorEastAsia"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1121D7"/>
    <w:multiLevelType w:val="multilevel"/>
    <w:tmpl w:val="E27E7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BB148A"/>
    <w:multiLevelType w:val="hybridMultilevel"/>
    <w:tmpl w:val="A26ED22E"/>
    <w:lvl w:ilvl="0" w:tplc="241A0011">
      <w:start w:val="1"/>
      <w:numFmt w:val="decimal"/>
      <w:lvlText w:val="%1)"/>
      <w:lvlJc w:val="left"/>
      <w:pPr>
        <w:ind w:left="502" w:hanging="360"/>
      </w:pPr>
    </w:lvl>
    <w:lvl w:ilvl="1" w:tplc="241A0019" w:tentative="1">
      <w:start w:val="1"/>
      <w:numFmt w:val="lowerLetter"/>
      <w:lvlText w:val="%2."/>
      <w:lvlJc w:val="left"/>
      <w:pPr>
        <w:ind w:left="1222" w:hanging="360"/>
      </w:pPr>
    </w:lvl>
    <w:lvl w:ilvl="2" w:tplc="241A001B" w:tentative="1">
      <w:start w:val="1"/>
      <w:numFmt w:val="lowerRoman"/>
      <w:lvlText w:val="%3."/>
      <w:lvlJc w:val="right"/>
      <w:pPr>
        <w:ind w:left="1942" w:hanging="180"/>
      </w:pPr>
    </w:lvl>
    <w:lvl w:ilvl="3" w:tplc="241A000F" w:tentative="1">
      <w:start w:val="1"/>
      <w:numFmt w:val="decimal"/>
      <w:lvlText w:val="%4."/>
      <w:lvlJc w:val="left"/>
      <w:pPr>
        <w:ind w:left="2662" w:hanging="360"/>
      </w:pPr>
    </w:lvl>
    <w:lvl w:ilvl="4" w:tplc="241A0019" w:tentative="1">
      <w:start w:val="1"/>
      <w:numFmt w:val="lowerLetter"/>
      <w:lvlText w:val="%5."/>
      <w:lvlJc w:val="left"/>
      <w:pPr>
        <w:ind w:left="3382" w:hanging="360"/>
      </w:pPr>
    </w:lvl>
    <w:lvl w:ilvl="5" w:tplc="241A001B" w:tentative="1">
      <w:start w:val="1"/>
      <w:numFmt w:val="lowerRoman"/>
      <w:lvlText w:val="%6."/>
      <w:lvlJc w:val="right"/>
      <w:pPr>
        <w:ind w:left="4102" w:hanging="180"/>
      </w:pPr>
    </w:lvl>
    <w:lvl w:ilvl="6" w:tplc="241A000F" w:tentative="1">
      <w:start w:val="1"/>
      <w:numFmt w:val="decimal"/>
      <w:lvlText w:val="%7."/>
      <w:lvlJc w:val="left"/>
      <w:pPr>
        <w:ind w:left="4822" w:hanging="360"/>
      </w:pPr>
    </w:lvl>
    <w:lvl w:ilvl="7" w:tplc="241A0019" w:tentative="1">
      <w:start w:val="1"/>
      <w:numFmt w:val="lowerLetter"/>
      <w:lvlText w:val="%8."/>
      <w:lvlJc w:val="left"/>
      <w:pPr>
        <w:ind w:left="5542" w:hanging="360"/>
      </w:pPr>
    </w:lvl>
    <w:lvl w:ilvl="8" w:tplc="241A001B" w:tentative="1">
      <w:start w:val="1"/>
      <w:numFmt w:val="lowerRoman"/>
      <w:lvlText w:val="%9."/>
      <w:lvlJc w:val="right"/>
      <w:pPr>
        <w:ind w:left="6262" w:hanging="180"/>
      </w:pPr>
    </w:lvl>
  </w:abstractNum>
  <w:abstractNum w:abstractNumId="9" w15:restartNumberingAfterBreak="0">
    <w:nsid w:val="46E16EB3"/>
    <w:multiLevelType w:val="multilevel"/>
    <w:tmpl w:val="46662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942009"/>
    <w:multiLevelType w:val="hybridMultilevel"/>
    <w:tmpl w:val="B7C8F9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B30289"/>
    <w:multiLevelType w:val="multilevel"/>
    <w:tmpl w:val="00FC2A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FD328C"/>
    <w:multiLevelType w:val="multilevel"/>
    <w:tmpl w:val="C396D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9227CA8"/>
    <w:multiLevelType w:val="multilevel"/>
    <w:tmpl w:val="1922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3"/>
  </w:num>
  <w:num w:numId="3">
    <w:abstractNumId w:val="7"/>
  </w:num>
  <w:num w:numId="4">
    <w:abstractNumId w:val="9"/>
  </w:num>
  <w:num w:numId="5">
    <w:abstractNumId w:val="3"/>
  </w:num>
  <w:num w:numId="6">
    <w:abstractNumId w:val="6"/>
  </w:num>
  <w:num w:numId="7">
    <w:abstractNumId w:val="4"/>
  </w:num>
  <w:num w:numId="8">
    <w:abstractNumId w:val="2"/>
  </w:num>
  <w:num w:numId="9">
    <w:abstractNumId w:val="0"/>
  </w:num>
  <w:num w:numId="10">
    <w:abstractNumId w:val="5"/>
  </w:num>
  <w:num w:numId="11">
    <w:abstractNumId w:val="1"/>
  </w:num>
  <w:num w:numId="12">
    <w:abstractNumId w:val="10"/>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98B"/>
    <w:rsid w:val="00093574"/>
    <w:rsid w:val="00143219"/>
    <w:rsid w:val="00162203"/>
    <w:rsid w:val="0016645D"/>
    <w:rsid w:val="00206C67"/>
    <w:rsid w:val="002339B5"/>
    <w:rsid w:val="00334EE2"/>
    <w:rsid w:val="004E04ED"/>
    <w:rsid w:val="00591970"/>
    <w:rsid w:val="005E3CCD"/>
    <w:rsid w:val="00645767"/>
    <w:rsid w:val="006A3DCC"/>
    <w:rsid w:val="007200F1"/>
    <w:rsid w:val="00723B14"/>
    <w:rsid w:val="007C3067"/>
    <w:rsid w:val="0086398B"/>
    <w:rsid w:val="008D19FC"/>
    <w:rsid w:val="008F044A"/>
    <w:rsid w:val="0095258C"/>
    <w:rsid w:val="00A64040"/>
    <w:rsid w:val="00AB559A"/>
    <w:rsid w:val="00AC2AB6"/>
    <w:rsid w:val="00BB57AD"/>
    <w:rsid w:val="00CB2B83"/>
    <w:rsid w:val="00CD4D26"/>
    <w:rsid w:val="00D016D9"/>
    <w:rsid w:val="00D15B97"/>
    <w:rsid w:val="00E54405"/>
    <w:rsid w:val="00F36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8B2D"/>
  <w15:chartTrackingRefBased/>
  <w15:docId w15:val="{A16546A1-5F19-4C1D-B0EA-363E0833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3B14"/>
    <w:pPr>
      <w:spacing w:after="0" w:line="240" w:lineRule="auto"/>
      <w:ind w:left="720"/>
      <w:contextualSpacing/>
    </w:pPr>
    <w:rPr>
      <w:rFonts w:eastAsiaTheme="minorEastAsia"/>
      <w:sz w:val="24"/>
      <w:szCs w:val="24"/>
    </w:rPr>
  </w:style>
  <w:style w:type="table" w:styleId="TableGrid">
    <w:name w:val="Table Grid"/>
    <w:basedOn w:val="TableNormal"/>
    <w:rsid w:val="00D016D9"/>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35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93574"/>
    <w:rPr>
      <w:color w:val="0000FF"/>
      <w:u w:val="single"/>
    </w:rPr>
  </w:style>
  <w:style w:type="character" w:styleId="UnresolvedMention">
    <w:name w:val="Unresolved Mention"/>
    <w:basedOn w:val="DefaultParagraphFont"/>
    <w:uiPriority w:val="99"/>
    <w:semiHidden/>
    <w:unhideWhenUsed/>
    <w:rsid w:val="00093574"/>
    <w:rPr>
      <w:color w:val="605E5C"/>
      <w:shd w:val="clear" w:color="auto" w:fill="E1DFDD"/>
    </w:rPr>
  </w:style>
  <w:style w:type="character" w:styleId="Strong">
    <w:name w:val="Strong"/>
    <w:basedOn w:val="DefaultParagraphFont"/>
    <w:uiPriority w:val="22"/>
    <w:qFormat/>
    <w:rsid w:val="007C30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589630">
      <w:bodyDiv w:val="1"/>
      <w:marLeft w:val="0"/>
      <w:marRight w:val="0"/>
      <w:marTop w:val="0"/>
      <w:marBottom w:val="0"/>
      <w:divBdr>
        <w:top w:val="none" w:sz="0" w:space="0" w:color="auto"/>
        <w:left w:val="none" w:sz="0" w:space="0" w:color="auto"/>
        <w:bottom w:val="none" w:sz="0" w:space="0" w:color="auto"/>
        <w:right w:val="none" w:sz="0" w:space="0" w:color="auto"/>
      </w:divBdr>
    </w:div>
    <w:div w:id="687605918">
      <w:bodyDiv w:val="1"/>
      <w:marLeft w:val="0"/>
      <w:marRight w:val="0"/>
      <w:marTop w:val="0"/>
      <w:marBottom w:val="0"/>
      <w:divBdr>
        <w:top w:val="none" w:sz="0" w:space="0" w:color="auto"/>
        <w:left w:val="none" w:sz="0" w:space="0" w:color="auto"/>
        <w:bottom w:val="none" w:sz="0" w:space="0" w:color="auto"/>
        <w:right w:val="none" w:sz="0" w:space="0" w:color="auto"/>
      </w:divBdr>
    </w:div>
    <w:div w:id="76619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binet@obnov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bnova.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Pages>
  <Words>1759</Words>
  <Characters>10031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Popović</dc:creator>
  <cp:keywords/>
  <dc:description/>
  <cp:lastModifiedBy>Katarina</cp:lastModifiedBy>
  <cp:revision>21</cp:revision>
  <cp:lastPrinted>2019-08-02T08:06:00Z</cp:lastPrinted>
  <dcterms:created xsi:type="dcterms:W3CDTF">2019-07-17T04:11:00Z</dcterms:created>
  <dcterms:modified xsi:type="dcterms:W3CDTF">2019-08-06T13:03:00Z</dcterms:modified>
</cp:coreProperties>
</file>