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0EBA" w14:textId="77777777" w:rsidR="00BE3405" w:rsidRPr="00F848C7" w:rsidRDefault="00BE3405" w:rsidP="00BE3405">
      <w:pPr>
        <w:tabs>
          <w:tab w:val="left" w:pos="7096"/>
        </w:tabs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INFORMATION </w:t>
      </w:r>
    </w:p>
    <w:p w14:paraId="2735B09E" w14:textId="1212E3FB" w:rsidR="00BE3405" w:rsidRPr="00F848C7" w:rsidRDefault="00BE3405" w:rsidP="00BE3405">
      <w:pPr>
        <w:tabs>
          <w:tab w:val="left" w:pos="7096"/>
        </w:tabs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AMENDMENT </w:t>
      </w:r>
      <w:r w:rsidR="007E4276"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No. </w:t>
      </w:r>
      <w:r w:rsidR="00AF77CA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7E4276"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TO </w:t>
      </w:r>
      <w:r w:rsidR="00154EC5" w:rsidRPr="00F848C7">
        <w:rPr>
          <w:rFonts w:ascii="Arial" w:hAnsi="Arial" w:cs="Arial"/>
          <w:b/>
          <w:bCs/>
          <w:sz w:val="22"/>
          <w:szCs w:val="22"/>
          <w:lang w:val="en-GB"/>
        </w:rPr>
        <w:t>PROCUREMENT</w:t>
      </w:r>
      <w:r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 DOCUMENT</w:t>
      </w:r>
      <w:r w:rsidR="00CD3A51" w:rsidRPr="00F848C7">
        <w:rPr>
          <w:rFonts w:ascii="Arial" w:hAnsi="Arial" w:cs="Arial"/>
          <w:b/>
          <w:bCs/>
          <w:sz w:val="22"/>
          <w:szCs w:val="22"/>
          <w:lang w:val="en-GB"/>
        </w:rPr>
        <w:t>S</w:t>
      </w:r>
    </w:p>
    <w:p w14:paraId="51C555F8" w14:textId="6CB4A823" w:rsidR="00BE3405" w:rsidRPr="00F848C7" w:rsidRDefault="000C396D" w:rsidP="00BE3405">
      <w:pPr>
        <w:tabs>
          <w:tab w:val="left" w:pos="7096"/>
        </w:tabs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848C7">
        <w:rPr>
          <w:rFonts w:ascii="Arial" w:hAnsi="Arial" w:cs="Arial"/>
          <w:b/>
          <w:bCs/>
          <w:sz w:val="22"/>
          <w:szCs w:val="22"/>
          <w:lang w:val="en-GB"/>
        </w:rPr>
        <w:t>Issued on</w:t>
      </w:r>
      <w:r w:rsidR="00B9550E"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bookmarkStart w:id="0" w:name="_Hlk519597336"/>
      <w:r w:rsidR="00C736D0">
        <w:rPr>
          <w:rFonts w:ascii="Arial" w:hAnsi="Arial" w:cs="Arial"/>
          <w:b/>
          <w:bCs/>
          <w:sz w:val="22"/>
          <w:szCs w:val="22"/>
          <w:lang w:val="en-GB"/>
        </w:rPr>
        <w:t>22</w:t>
      </w:r>
      <w:bookmarkStart w:id="1" w:name="_GoBack"/>
      <w:bookmarkEnd w:id="1"/>
      <w:r w:rsidR="00154EC5" w:rsidRPr="00F848C7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th</w:t>
      </w:r>
      <w:r w:rsidR="00154EC5"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B9550E"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of </w:t>
      </w:r>
      <w:r w:rsidR="00AF77CA">
        <w:rPr>
          <w:rFonts w:ascii="Arial" w:hAnsi="Arial" w:cs="Arial"/>
          <w:b/>
          <w:bCs/>
          <w:sz w:val="22"/>
          <w:szCs w:val="22"/>
          <w:lang w:val="en-GB"/>
        </w:rPr>
        <w:t>November</w:t>
      </w:r>
      <w:r w:rsidR="00B9651E" w:rsidRPr="00F848C7">
        <w:rPr>
          <w:rFonts w:ascii="Arial" w:hAnsi="Arial" w:cs="Arial"/>
          <w:b/>
          <w:bCs/>
          <w:sz w:val="22"/>
          <w:szCs w:val="22"/>
          <w:lang w:val="en-GB"/>
        </w:rPr>
        <w:t xml:space="preserve"> 201</w:t>
      </w:r>
      <w:bookmarkEnd w:id="0"/>
      <w:r w:rsidR="00AF77CA">
        <w:rPr>
          <w:rFonts w:ascii="Arial" w:hAnsi="Arial" w:cs="Arial"/>
          <w:b/>
          <w:bCs/>
          <w:sz w:val="22"/>
          <w:szCs w:val="22"/>
          <w:lang w:val="en-GB"/>
        </w:rPr>
        <w:t>9</w:t>
      </w:r>
    </w:p>
    <w:p w14:paraId="5C87DF39" w14:textId="77777777" w:rsidR="00AF77CA" w:rsidRPr="00AF77CA" w:rsidRDefault="00BE3405" w:rsidP="00AF77CA">
      <w:pPr>
        <w:jc w:val="center"/>
        <w:rPr>
          <w:rFonts w:ascii="Arial" w:hAnsi="Arial" w:cs="Arial"/>
          <w:noProof/>
          <w:sz w:val="22"/>
          <w:szCs w:val="22"/>
          <w:lang w:val="sr-Latn-RS"/>
        </w:rPr>
      </w:pPr>
      <w:r w:rsidRPr="00F848C7">
        <w:rPr>
          <w:rFonts w:ascii="Arial" w:hAnsi="Arial" w:cs="Arial"/>
          <w:bCs/>
          <w:sz w:val="22"/>
          <w:szCs w:val="22"/>
          <w:lang w:val="en-GB"/>
        </w:rPr>
        <w:t xml:space="preserve">for </w:t>
      </w:r>
      <w:bookmarkStart w:id="2" w:name="_Hlk25069530"/>
      <w:r w:rsidR="00CD3A51" w:rsidRPr="00F848C7">
        <w:rPr>
          <w:rFonts w:ascii="Arial" w:hAnsi="Arial" w:cs="Arial"/>
          <w:sz w:val="22"/>
          <w:szCs w:val="22"/>
          <w:lang w:val="sr-Latn-RS"/>
        </w:rPr>
        <w:t>Procurement</w:t>
      </w:r>
      <w:r w:rsidR="00CD3A51" w:rsidRPr="00F848C7">
        <w:rPr>
          <w:rFonts w:ascii="Arial" w:hAnsi="Arial" w:cs="Arial"/>
          <w:noProof/>
          <w:sz w:val="22"/>
          <w:szCs w:val="22"/>
          <w:lang w:val="sr-Latn-RS"/>
        </w:rPr>
        <w:t xml:space="preserve"> of </w:t>
      </w:r>
      <w:r w:rsidR="00AF77CA" w:rsidRPr="00AF77CA">
        <w:rPr>
          <w:rFonts w:ascii="Arial" w:hAnsi="Arial" w:cs="Arial"/>
          <w:noProof/>
          <w:sz w:val="22"/>
          <w:szCs w:val="22"/>
          <w:lang w:val="sr-Latn-RS"/>
        </w:rPr>
        <w:t>Furniture and IT Equipment for Clinical center Zemun</w:t>
      </w:r>
    </w:p>
    <w:p w14:paraId="384A8D51" w14:textId="638B7A6D" w:rsidR="00BE3405" w:rsidRPr="00F848C7" w:rsidRDefault="00AF77CA" w:rsidP="00AF77C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AF77CA">
        <w:rPr>
          <w:rFonts w:ascii="Arial" w:hAnsi="Arial" w:cs="Arial"/>
          <w:noProof/>
          <w:sz w:val="22"/>
          <w:szCs w:val="22"/>
          <w:lang w:val="sr-Latn-RS"/>
        </w:rPr>
        <w:t>IOP/34-2019/UHI</w:t>
      </w:r>
    </w:p>
    <w:p w14:paraId="59A97D7F" w14:textId="77777777" w:rsidR="00CD3A51" w:rsidRPr="00F848C7" w:rsidRDefault="00CD3A51" w:rsidP="00CD3A51">
      <w:pPr>
        <w:jc w:val="center"/>
        <w:rPr>
          <w:rFonts w:ascii="Arial" w:hAnsi="Arial" w:cs="Arial"/>
          <w:sz w:val="22"/>
          <w:szCs w:val="22"/>
        </w:rPr>
      </w:pPr>
    </w:p>
    <w:bookmarkEnd w:id="2"/>
    <w:p w14:paraId="6E03FDDD" w14:textId="50F15410" w:rsidR="001352D0" w:rsidRPr="002A784F" w:rsidRDefault="000A1CA3" w:rsidP="00AF77CA">
      <w:pPr>
        <w:spacing w:after="100" w:afterAutospacing="1"/>
        <w:jc w:val="both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246EED" w:rsidRPr="006C55DF">
        <w:rPr>
          <w:rFonts w:ascii="Arial" w:hAnsi="Arial" w:cs="Arial"/>
          <w:sz w:val="22"/>
          <w:szCs w:val="22"/>
        </w:rPr>
        <w:t xml:space="preserve">accordance with </w:t>
      </w:r>
      <w:r w:rsidR="00366749" w:rsidRPr="006C55DF">
        <w:rPr>
          <w:rFonts w:ascii="Arial" w:hAnsi="Arial" w:cs="Arial"/>
          <w:sz w:val="22"/>
          <w:szCs w:val="22"/>
        </w:rPr>
        <w:t xml:space="preserve">the </w:t>
      </w:r>
      <w:r w:rsidR="00246EED" w:rsidRPr="006C55DF">
        <w:rPr>
          <w:rFonts w:ascii="Arial" w:hAnsi="Arial" w:cs="Arial"/>
          <w:sz w:val="22"/>
          <w:szCs w:val="22"/>
        </w:rPr>
        <w:t xml:space="preserve">Clause </w:t>
      </w:r>
      <w:r w:rsidR="00CD3A51" w:rsidRPr="006C55DF">
        <w:rPr>
          <w:rFonts w:ascii="Arial" w:hAnsi="Arial" w:cs="Arial"/>
          <w:sz w:val="22"/>
          <w:szCs w:val="22"/>
        </w:rPr>
        <w:t>8</w:t>
      </w:r>
      <w:r w:rsidR="00246EED" w:rsidRPr="006C55DF">
        <w:rPr>
          <w:rFonts w:ascii="Arial" w:hAnsi="Arial" w:cs="Arial"/>
          <w:sz w:val="22"/>
          <w:szCs w:val="22"/>
        </w:rPr>
        <w:t xml:space="preserve">. Part </w:t>
      </w:r>
      <w:r w:rsidR="00E320B7" w:rsidRPr="006C55DF">
        <w:rPr>
          <w:rFonts w:ascii="Arial" w:hAnsi="Arial" w:cs="Arial"/>
          <w:sz w:val="22"/>
          <w:szCs w:val="22"/>
        </w:rPr>
        <w:t>1</w:t>
      </w:r>
      <w:r w:rsidR="00246EED" w:rsidRPr="006C55DF">
        <w:rPr>
          <w:rFonts w:ascii="Arial" w:hAnsi="Arial" w:cs="Arial"/>
          <w:sz w:val="22"/>
          <w:szCs w:val="22"/>
        </w:rPr>
        <w:t xml:space="preserve">. </w:t>
      </w:r>
      <w:bookmarkStart w:id="3" w:name="_Hlk519170825"/>
      <w:r w:rsidR="00CD3A51" w:rsidRPr="006C55DF">
        <w:rPr>
          <w:rFonts w:ascii="Arial" w:hAnsi="Arial" w:cs="Arial"/>
          <w:sz w:val="22"/>
          <w:szCs w:val="22"/>
        </w:rPr>
        <w:t>Bidding Procedures</w:t>
      </w:r>
      <w:r w:rsidR="00B774B7" w:rsidRPr="006C55DF">
        <w:rPr>
          <w:rFonts w:ascii="Arial" w:hAnsi="Arial" w:cs="Arial"/>
          <w:sz w:val="22"/>
          <w:szCs w:val="22"/>
        </w:rPr>
        <w:t xml:space="preserve">, </w:t>
      </w:r>
      <w:r w:rsidR="00CD3A51" w:rsidRPr="006C55DF">
        <w:rPr>
          <w:rFonts w:ascii="Arial" w:hAnsi="Arial" w:cs="Arial"/>
          <w:sz w:val="22"/>
          <w:szCs w:val="22"/>
        </w:rPr>
        <w:t xml:space="preserve">Section </w:t>
      </w:r>
      <w:r w:rsidR="00166142" w:rsidRPr="006C55DF">
        <w:rPr>
          <w:rFonts w:ascii="Arial" w:hAnsi="Arial" w:cs="Arial"/>
          <w:sz w:val="22"/>
          <w:szCs w:val="22"/>
        </w:rPr>
        <w:t>I</w:t>
      </w:r>
      <w:r w:rsidR="00B774B7" w:rsidRPr="006C55DF">
        <w:rPr>
          <w:rFonts w:ascii="Arial" w:hAnsi="Arial" w:cs="Arial"/>
          <w:sz w:val="22"/>
          <w:szCs w:val="22"/>
        </w:rPr>
        <w:t xml:space="preserve">. </w:t>
      </w:r>
      <w:r w:rsidR="00CD3A51" w:rsidRPr="006C55DF">
        <w:rPr>
          <w:rFonts w:ascii="Arial" w:hAnsi="Arial" w:cs="Arial"/>
          <w:sz w:val="22"/>
          <w:szCs w:val="22"/>
        </w:rPr>
        <w:t>Instructions to Bidders</w:t>
      </w:r>
      <w:bookmarkEnd w:id="3"/>
      <w:r w:rsidR="00CD3A51" w:rsidRPr="006C55DF">
        <w:rPr>
          <w:rFonts w:ascii="Arial" w:hAnsi="Arial" w:cs="Arial"/>
          <w:sz w:val="22"/>
          <w:szCs w:val="22"/>
        </w:rPr>
        <w:t>, Contents</w:t>
      </w:r>
      <w:r w:rsidR="00CD3A51" w:rsidRPr="00F848C7">
        <w:rPr>
          <w:rFonts w:ascii="Arial" w:hAnsi="Arial" w:cs="Arial"/>
          <w:sz w:val="22"/>
          <w:szCs w:val="22"/>
        </w:rPr>
        <w:t xml:space="preserve"> of Bidding Documents, Amendment of Bidding Documents</w:t>
      </w:r>
      <w:r w:rsidR="00B774B7" w:rsidRPr="00F848C7">
        <w:rPr>
          <w:rFonts w:ascii="Arial" w:hAnsi="Arial" w:cs="Arial"/>
          <w:sz w:val="22"/>
          <w:szCs w:val="22"/>
        </w:rPr>
        <w:t xml:space="preserve"> of the Procurement Document</w:t>
      </w:r>
      <w:r w:rsidR="00C33364" w:rsidRPr="00F848C7">
        <w:rPr>
          <w:rFonts w:ascii="Arial" w:hAnsi="Arial" w:cs="Arial"/>
          <w:sz w:val="22"/>
          <w:szCs w:val="22"/>
        </w:rPr>
        <w:t>s</w:t>
      </w:r>
      <w:r w:rsidR="00396430" w:rsidRPr="00F848C7">
        <w:rPr>
          <w:rFonts w:ascii="Arial" w:hAnsi="Arial" w:cs="Arial"/>
          <w:sz w:val="22"/>
          <w:szCs w:val="22"/>
        </w:rPr>
        <w:t>, Public Investment Management Office</w:t>
      </w:r>
      <w:r w:rsidR="00BE3405" w:rsidRPr="00F848C7">
        <w:rPr>
          <w:rFonts w:ascii="Arial" w:hAnsi="Arial" w:cs="Arial"/>
          <w:sz w:val="22"/>
          <w:szCs w:val="22"/>
          <w:lang w:val="en-GB"/>
        </w:rPr>
        <w:t xml:space="preserve">, No. </w:t>
      </w:r>
      <w:r w:rsidR="00396430" w:rsidRPr="00F848C7">
        <w:rPr>
          <w:rFonts w:ascii="Arial" w:hAnsi="Arial" w:cs="Arial"/>
          <w:sz w:val="22"/>
          <w:szCs w:val="22"/>
          <w:lang w:val="en-GB"/>
        </w:rPr>
        <w:t>11</w:t>
      </w:r>
      <w:r w:rsidR="00BE3405" w:rsidRPr="00F848C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E3405" w:rsidRPr="00F848C7">
        <w:rPr>
          <w:rFonts w:ascii="Arial" w:hAnsi="Arial" w:cs="Arial"/>
          <w:sz w:val="22"/>
          <w:szCs w:val="22"/>
          <w:lang w:val="en-GB"/>
        </w:rPr>
        <w:t>Nemanjina</w:t>
      </w:r>
      <w:proofErr w:type="spellEnd"/>
      <w:r w:rsidR="00BE3405" w:rsidRPr="00F848C7">
        <w:rPr>
          <w:rFonts w:ascii="Arial" w:hAnsi="Arial" w:cs="Arial"/>
          <w:sz w:val="22"/>
          <w:szCs w:val="22"/>
          <w:lang w:val="en-GB"/>
        </w:rPr>
        <w:t xml:space="preserve"> street,</w:t>
      </w:r>
      <w:r w:rsidR="00E7661A" w:rsidRPr="00F848C7">
        <w:rPr>
          <w:rFonts w:ascii="Arial" w:hAnsi="Arial" w:cs="Arial"/>
          <w:sz w:val="22"/>
          <w:szCs w:val="22"/>
          <w:lang w:val="en-GB"/>
        </w:rPr>
        <w:t xml:space="preserve"> Republic of Serbia,</w:t>
      </w:r>
      <w:r w:rsidR="00BE3405" w:rsidRPr="00F848C7">
        <w:rPr>
          <w:rFonts w:ascii="Arial" w:hAnsi="Arial" w:cs="Arial"/>
          <w:sz w:val="22"/>
          <w:szCs w:val="22"/>
          <w:lang w:val="en-GB"/>
        </w:rPr>
        <w:t xml:space="preserve"> </w:t>
      </w:r>
      <w:r w:rsidR="00E7661A" w:rsidRPr="00F848C7">
        <w:rPr>
          <w:rFonts w:ascii="Arial" w:hAnsi="Arial" w:cs="Arial"/>
          <w:sz w:val="22"/>
          <w:szCs w:val="22"/>
          <w:lang w:val="en-GB"/>
        </w:rPr>
        <w:t>as the Purchaser</w:t>
      </w:r>
      <w:r w:rsidR="00BE3405" w:rsidRPr="00F848C7">
        <w:rPr>
          <w:rFonts w:ascii="Arial" w:hAnsi="Arial" w:cs="Arial"/>
          <w:sz w:val="22"/>
          <w:szCs w:val="22"/>
          <w:lang w:val="en-GB"/>
        </w:rPr>
        <w:t xml:space="preserve">, hereby notifies all persons concerned for </w:t>
      </w:r>
      <w:r w:rsidR="00AF77CA" w:rsidRPr="00AF77CA">
        <w:rPr>
          <w:rFonts w:ascii="Arial" w:hAnsi="Arial" w:cs="Arial"/>
          <w:sz w:val="22"/>
          <w:szCs w:val="22"/>
          <w:lang w:val="sr-Latn-RS"/>
        </w:rPr>
        <w:t>Furniture and IT Equipment for Clinical center Zemun</w:t>
      </w:r>
      <w:r w:rsidR="00AF77CA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AF77CA" w:rsidRPr="00AF77CA">
        <w:rPr>
          <w:rFonts w:ascii="Arial" w:hAnsi="Arial" w:cs="Arial"/>
          <w:sz w:val="22"/>
          <w:szCs w:val="22"/>
          <w:lang w:val="sr-Latn-RS"/>
        </w:rPr>
        <w:t>IOP/34-2019/UHI</w:t>
      </w:r>
      <w:r w:rsidR="00BE3405" w:rsidRPr="00F848C7">
        <w:rPr>
          <w:rStyle w:val="Strong"/>
          <w:rFonts w:ascii="Arial" w:hAnsi="Arial" w:cs="Arial"/>
          <w:sz w:val="22"/>
          <w:szCs w:val="22"/>
          <w:lang w:val="en-GB"/>
        </w:rPr>
        <w:t>,</w:t>
      </w:r>
      <w:r w:rsidR="00BE3405" w:rsidRPr="00F848C7">
        <w:rPr>
          <w:rFonts w:ascii="Arial" w:hAnsi="Arial" w:cs="Arial"/>
          <w:sz w:val="22"/>
          <w:szCs w:val="22"/>
          <w:lang w:val="en-GB"/>
        </w:rPr>
        <w:t xml:space="preserve"> that there has been an amendmen</w:t>
      </w:r>
      <w:r w:rsidR="00E11F05" w:rsidRPr="00F848C7">
        <w:rPr>
          <w:rFonts w:ascii="Arial" w:hAnsi="Arial" w:cs="Arial"/>
          <w:sz w:val="22"/>
          <w:szCs w:val="22"/>
          <w:lang w:val="en-GB"/>
        </w:rPr>
        <w:t xml:space="preserve">t made in the </w:t>
      </w:r>
      <w:r w:rsidRPr="002A784F">
        <w:rPr>
          <w:rFonts w:ascii="Arial" w:hAnsi="Arial" w:cs="Arial"/>
          <w:b/>
          <w:sz w:val="22"/>
          <w:szCs w:val="22"/>
          <w:lang w:val="en-GB"/>
        </w:rPr>
        <w:t xml:space="preserve">Technical specification, lot </w:t>
      </w:r>
      <w:r w:rsidR="00AF77CA" w:rsidRPr="002A784F">
        <w:rPr>
          <w:rFonts w:ascii="Arial" w:hAnsi="Arial" w:cs="Arial"/>
          <w:b/>
          <w:sz w:val="22"/>
          <w:szCs w:val="22"/>
          <w:lang w:val="en-GB"/>
        </w:rPr>
        <w:t>1</w:t>
      </w:r>
      <w:r w:rsidRPr="002A784F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 w:rsidR="00AF77CA" w:rsidRPr="002A784F">
        <w:rPr>
          <w:rFonts w:ascii="Arial" w:hAnsi="Arial" w:cs="Arial"/>
          <w:b/>
          <w:sz w:val="22"/>
          <w:szCs w:val="22"/>
          <w:lang w:val="en-GB"/>
        </w:rPr>
        <w:t>Furniture</w:t>
      </w:r>
      <w:r w:rsidR="00110639">
        <w:rPr>
          <w:rFonts w:ascii="Arial" w:hAnsi="Arial" w:cs="Arial"/>
          <w:b/>
          <w:sz w:val="22"/>
          <w:szCs w:val="22"/>
          <w:lang w:val="en-GB"/>
        </w:rPr>
        <w:t xml:space="preserve"> and Equipment</w:t>
      </w:r>
      <w:r w:rsidRPr="002A784F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82CBABD" w14:textId="77777777" w:rsidR="00AF77CA" w:rsidRPr="002A784F" w:rsidRDefault="000A1CA3" w:rsidP="002A784F">
      <w:pPr>
        <w:pStyle w:val="ListParagraph"/>
        <w:numPr>
          <w:ilvl w:val="0"/>
          <w:numId w:val="13"/>
        </w:numPr>
        <w:spacing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2A784F">
        <w:rPr>
          <w:rFonts w:ascii="Arial" w:hAnsi="Arial" w:cs="Arial"/>
          <w:sz w:val="22"/>
          <w:szCs w:val="22"/>
          <w:lang w:val="en-GB"/>
        </w:rPr>
        <w:t xml:space="preserve">The new Item </w:t>
      </w:r>
      <w:r w:rsidR="00AF77CA" w:rsidRPr="002A784F">
        <w:rPr>
          <w:rFonts w:ascii="Arial" w:hAnsi="Arial" w:cs="Arial"/>
          <w:sz w:val="22"/>
          <w:szCs w:val="22"/>
          <w:lang w:val="en-GB"/>
        </w:rPr>
        <w:t>1.25 UV Robot for Space disinfection</w:t>
      </w:r>
      <w:r w:rsidRPr="002A784F">
        <w:rPr>
          <w:rFonts w:ascii="Arial" w:hAnsi="Arial" w:cs="Arial"/>
          <w:sz w:val="22"/>
          <w:szCs w:val="22"/>
          <w:lang w:val="en-GB"/>
        </w:rPr>
        <w:t xml:space="preserve"> </w:t>
      </w:r>
      <w:r w:rsidR="00DA51D5" w:rsidRPr="002A784F">
        <w:rPr>
          <w:rFonts w:ascii="Arial" w:hAnsi="Arial" w:cs="Arial"/>
          <w:sz w:val="22"/>
          <w:szCs w:val="22"/>
          <w:lang w:val="en-GB"/>
        </w:rPr>
        <w:t xml:space="preserve">was added </w:t>
      </w:r>
      <w:r w:rsidR="00AF77CA" w:rsidRPr="002A784F">
        <w:rPr>
          <w:rFonts w:ascii="Arial" w:hAnsi="Arial" w:cs="Arial"/>
          <w:sz w:val="22"/>
          <w:szCs w:val="22"/>
          <w:lang w:val="en-GB"/>
        </w:rPr>
        <w:t xml:space="preserve">in Sheet 1- Furniture 1 </w:t>
      </w:r>
    </w:p>
    <w:p w14:paraId="524B858D" w14:textId="70BA839B" w:rsidR="000A1CA3" w:rsidRDefault="002A784F" w:rsidP="006067D2">
      <w:pPr>
        <w:spacing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 </w:t>
      </w:r>
      <w:r w:rsidR="00DA51D5">
        <w:rPr>
          <w:rFonts w:ascii="Arial" w:hAnsi="Arial" w:cs="Arial"/>
          <w:sz w:val="22"/>
          <w:szCs w:val="22"/>
          <w:lang w:val="en-GB"/>
        </w:rPr>
        <w:t>with the following technical specification:</w:t>
      </w:r>
    </w:p>
    <w:p w14:paraId="27F7811C" w14:textId="25E413F0" w:rsidR="00200617" w:rsidRPr="00F848C7" w:rsidRDefault="00200617" w:rsidP="003E6FDD">
      <w:pPr>
        <w:pStyle w:val="BankNormal"/>
        <w:spacing w:after="20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6750" w:type="dxa"/>
        <w:tblInd w:w="-5" w:type="dxa"/>
        <w:tblLook w:val="04A0" w:firstRow="1" w:lastRow="0" w:firstColumn="1" w:lastColumn="0" w:noHBand="0" w:noVBand="1"/>
      </w:tblPr>
      <w:tblGrid>
        <w:gridCol w:w="852"/>
        <w:gridCol w:w="4464"/>
        <w:gridCol w:w="1434"/>
      </w:tblGrid>
      <w:tr w:rsidR="0073279E" w:rsidRPr="00DA51D5" w14:paraId="4743DC06" w14:textId="7EEFBD05" w:rsidTr="002A784F">
        <w:trPr>
          <w:trHeight w:val="660"/>
        </w:trPr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A504CBD" w14:textId="435A7948" w:rsidR="0073279E" w:rsidRPr="00DA51D5" w:rsidRDefault="002A784F" w:rsidP="00DA51D5">
            <w:pPr>
              <w:rPr>
                <w:b/>
                <w:bCs/>
              </w:rPr>
            </w:pPr>
            <w:r>
              <w:rPr>
                <w:b/>
                <w:bCs/>
              </w:rPr>
              <w:t>1.25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59CB11F" w14:textId="76665D12" w:rsidR="0073279E" w:rsidRPr="002A784F" w:rsidRDefault="002A784F" w:rsidP="00DA51D5">
            <w:pPr>
              <w:rPr>
                <w:b/>
                <w:bCs/>
              </w:rPr>
            </w:pPr>
            <w:r w:rsidRPr="002A784F">
              <w:rPr>
                <w:b/>
                <w:sz w:val="22"/>
                <w:szCs w:val="22"/>
                <w:lang w:val="en-GB"/>
              </w:rPr>
              <w:t>UV Robot for Space disinfection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6590C2A" w14:textId="77777777" w:rsidR="0073279E" w:rsidRDefault="0073279E" w:rsidP="00732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Qty.</w:t>
            </w:r>
          </w:p>
          <w:p w14:paraId="4E3355E9" w14:textId="5CEFA0DB" w:rsidR="0073279E" w:rsidRPr="00DA51D5" w:rsidRDefault="0073279E" w:rsidP="00732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3279E" w:rsidRPr="00DA51D5" w14:paraId="6917E640" w14:textId="2273B778" w:rsidTr="002A784F">
        <w:trPr>
          <w:trHeight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5CA79A" w14:textId="77777777" w:rsidR="0073279E" w:rsidRPr="00DA51D5" w:rsidRDefault="0073279E" w:rsidP="00DA51D5">
            <w:pPr>
              <w:ind w:firstLineChars="100" w:firstLine="241"/>
              <w:rPr>
                <w:b/>
                <w:bCs/>
              </w:rPr>
            </w:pPr>
            <w:r w:rsidRPr="00DA51D5">
              <w:rPr>
                <w:b/>
                <w:bCs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96751F" w14:textId="5C34188B" w:rsidR="0073279E" w:rsidRPr="00DA51D5" w:rsidRDefault="00AB31D4" w:rsidP="00DA51D5">
            <w:r>
              <w:t>Automatic UV Disinfection Robot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5238AE" w14:textId="77777777" w:rsidR="0073279E" w:rsidRPr="00DA51D5" w:rsidRDefault="0073279E" w:rsidP="00DA51D5"/>
        </w:tc>
      </w:tr>
      <w:tr w:rsidR="0073279E" w:rsidRPr="00DA51D5" w14:paraId="7F4F7626" w14:textId="09554CFF" w:rsidTr="002A784F">
        <w:trPr>
          <w:trHeight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E903BC" w14:textId="77777777" w:rsidR="0073279E" w:rsidRPr="00DA51D5" w:rsidRDefault="0073279E" w:rsidP="00DA51D5">
            <w:pPr>
              <w:ind w:firstLineChars="100" w:firstLine="241"/>
              <w:rPr>
                <w:b/>
                <w:bCs/>
              </w:rPr>
            </w:pPr>
            <w:r w:rsidRPr="00DA51D5">
              <w:rPr>
                <w:b/>
                <w:bCs/>
              </w:rPr>
              <w:t>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A411F03" w14:textId="33394BDB" w:rsidR="0073279E" w:rsidRPr="00DA51D5" w:rsidRDefault="00AB31D4" w:rsidP="00DA51D5">
            <w:r w:rsidRPr="00AB31D4">
              <w:t xml:space="preserve">Controllable via application software on a tablet or smartphone, the robot moves autonomously in the room to be disinfected and signaled when the room is disinfected.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7787B0" w14:textId="77777777" w:rsidR="0073279E" w:rsidRPr="00DA51D5" w:rsidRDefault="0073279E" w:rsidP="00DA51D5"/>
        </w:tc>
      </w:tr>
      <w:tr w:rsidR="0073279E" w:rsidRPr="00DA51D5" w14:paraId="55D0F53D" w14:textId="0C9D357F" w:rsidTr="002A784F">
        <w:trPr>
          <w:trHeight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749B9F" w14:textId="77777777" w:rsidR="0073279E" w:rsidRPr="00DA51D5" w:rsidRDefault="0073279E" w:rsidP="00DA51D5">
            <w:pPr>
              <w:ind w:firstLineChars="100" w:firstLine="241"/>
              <w:rPr>
                <w:b/>
                <w:bCs/>
              </w:rPr>
            </w:pPr>
            <w:r w:rsidRPr="00DA51D5">
              <w:rPr>
                <w:b/>
                <w:bCs/>
              </w:rPr>
              <w:t>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82FA80" w14:textId="376B0B07" w:rsidR="0073279E" w:rsidRPr="00DA51D5" w:rsidRDefault="002A784F" w:rsidP="00DA51D5">
            <w:r w:rsidRPr="00AB31D4">
              <w:t>The safety of patients, staff, furniture and robots is provided by safety sensors that stop the robot in the event of approaching / encountering obstacles in the direction of movement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19F25A" w14:textId="77777777" w:rsidR="0073279E" w:rsidRPr="00DA51D5" w:rsidRDefault="0073279E" w:rsidP="00DA51D5"/>
        </w:tc>
      </w:tr>
      <w:tr w:rsidR="0073279E" w:rsidRPr="00DA51D5" w14:paraId="578EF017" w14:textId="2C73166D" w:rsidTr="002A784F">
        <w:trPr>
          <w:trHeight w:val="6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5CFED9" w14:textId="77777777" w:rsidR="0073279E" w:rsidRPr="00DA51D5" w:rsidRDefault="0073279E" w:rsidP="00DA51D5">
            <w:pPr>
              <w:ind w:firstLineChars="100" w:firstLine="241"/>
              <w:rPr>
                <w:b/>
                <w:bCs/>
              </w:rPr>
            </w:pPr>
            <w:r w:rsidRPr="00DA51D5">
              <w:rPr>
                <w:b/>
                <w:bCs/>
              </w:rPr>
              <w:t>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A9B4EF" w14:textId="313003C5" w:rsidR="0073279E" w:rsidRPr="00DA51D5" w:rsidRDefault="002A784F" w:rsidP="00DA51D5">
            <w:r>
              <w:t>Total weight is up to 150 kg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30221F" w14:textId="77777777" w:rsidR="0073279E" w:rsidRPr="00DA51D5" w:rsidRDefault="0073279E" w:rsidP="00DA51D5"/>
        </w:tc>
      </w:tr>
      <w:tr w:rsidR="0073279E" w:rsidRPr="00DA51D5" w14:paraId="1BEB8232" w14:textId="0F99E6E4" w:rsidTr="002A784F">
        <w:trPr>
          <w:trHeight w:val="624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9D9632" w14:textId="77777777" w:rsidR="0073279E" w:rsidRPr="00DA51D5" w:rsidRDefault="0073279E" w:rsidP="00DA51D5">
            <w:pPr>
              <w:ind w:firstLineChars="100" w:firstLine="241"/>
              <w:rPr>
                <w:b/>
                <w:bCs/>
              </w:rPr>
            </w:pPr>
            <w:r w:rsidRPr="00DA51D5">
              <w:rPr>
                <w:b/>
                <w:bCs/>
              </w:rPr>
              <w:t>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97CEF6" w14:textId="338E6E3D" w:rsidR="0073279E" w:rsidRPr="00DA51D5" w:rsidRDefault="002A784F" w:rsidP="00DA51D5">
            <w:r>
              <w:t xml:space="preserve">Operating time/ battery </w:t>
            </w:r>
            <w:proofErr w:type="spellStart"/>
            <w:r>
              <w:t>capcity</w:t>
            </w:r>
            <w:proofErr w:type="spellEnd"/>
            <w:r>
              <w:t>: min 2h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3B7453" w14:textId="77777777" w:rsidR="0073279E" w:rsidRPr="00DA51D5" w:rsidRDefault="0073279E" w:rsidP="00DA51D5"/>
        </w:tc>
      </w:tr>
      <w:tr w:rsidR="0073279E" w:rsidRPr="00DA51D5" w14:paraId="61F557D4" w14:textId="69EA502B" w:rsidTr="002A784F">
        <w:trPr>
          <w:trHeight w:val="2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14:paraId="34EE6EF0" w14:textId="77777777" w:rsidR="0073279E" w:rsidRPr="00DA51D5" w:rsidRDefault="0073279E" w:rsidP="00DA51D5">
            <w:pPr>
              <w:ind w:firstLineChars="100" w:firstLine="241"/>
              <w:rPr>
                <w:b/>
                <w:bCs/>
              </w:rPr>
            </w:pPr>
            <w:r w:rsidRPr="00DA51D5">
              <w:rPr>
                <w:b/>
                <w:bCs/>
              </w:rPr>
              <w:t>6</w:t>
            </w:r>
          </w:p>
        </w:tc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22BE8F" w14:textId="293AA3FD" w:rsidR="0073279E" w:rsidRPr="00DA51D5" w:rsidRDefault="002A784F" w:rsidP="00DA51D5">
            <w:r>
              <w:t>Disinfection coverage is 360º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126E6A" w14:textId="77777777" w:rsidR="0073279E" w:rsidRPr="00DA51D5" w:rsidRDefault="0073279E" w:rsidP="00DA51D5"/>
        </w:tc>
      </w:tr>
      <w:tr w:rsidR="0073279E" w:rsidRPr="00DA51D5" w14:paraId="342D8BB8" w14:textId="2722CED2" w:rsidTr="002A784F">
        <w:trPr>
          <w:trHeight w:val="31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373EBA" w14:textId="77777777" w:rsidR="0073279E" w:rsidRPr="00DA51D5" w:rsidRDefault="0073279E" w:rsidP="00DA51D5">
            <w:pPr>
              <w:ind w:firstLineChars="100" w:firstLine="241"/>
              <w:rPr>
                <w:b/>
                <w:bCs/>
              </w:rPr>
            </w:pPr>
            <w:r w:rsidRPr="00DA51D5">
              <w:rPr>
                <w:b/>
                <w:bCs/>
              </w:rPr>
              <w:t>7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6E2FD4" w14:textId="4E344C5F" w:rsidR="0073279E" w:rsidRPr="00DA51D5" w:rsidRDefault="002A784F" w:rsidP="00DA51D5">
            <w:r>
              <w:t>UV Length is 254nm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6520DB" w14:textId="77777777" w:rsidR="0073279E" w:rsidRPr="00DA51D5" w:rsidRDefault="0073279E" w:rsidP="00DA51D5"/>
        </w:tc>
      </w:tr>
      <w:tr w:rsidR="0073279E" w:rsidRPr="00DA51D5" w14:paraId="5ACA55AB" w14:textId="2BAA7835" w:rsidTr="002A784F">
        <w:trPr>
          <w:trHeight w:val="9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55D20E" w14:textId="77777777" w:rsidR="0073279E" w:rsidRPr="00DA51D5" w:rsidRDefault="0073279E" w:rsidP="00DA51D5">
            <w:pPr>
              <w:ind w:firstLineChars="100" w:firstLine="241"/>
              <w:rPr>
                <w:b/>
                <w:bCs/>
              </w:rPr>
            </w:pPr>
            <w:r w:rsidRPr="00DA51D5">
              <w:rPr>
                <w:b/>
                <w:bCs/>
              </w:rPr>
              <w:t>8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68567A" w14:textId="48543D92" w:rsidR="0073279E" w:rsidRPr="00DA51D5" w:rsidRDefault="002A784F" w:rsidP="00DA51D5">
            <w:r>
              <w:t xml:space="preserve">Connectivity is wireless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D24C77" w14:textId="77777777" w:rsidR="0073279E" w:rsidRPr="00DA51D5" w:rsidRDefault="0073279E" w:rsidP="00DA51D5"/>
        </w:tc>
      </w:tr>
    </w:tbl>
    <w:p w14:paraId="06C3B26A" w14:textId="77777777" w:rsidR="0073279E" w:rsidRDefault="0073279E" w:rsidP="0073279E">
      <w:pPr>
        <w:rPr>
          <w:lang w:val="en-GB"/>
        </w:rPr>
      </w:pPr>
    </w:p>
    <w:p w14:paraId="4CB1E1F9" w14:textId="77777777" w:rsidR="0073279E" w:rsidRDefault="0073279E" w:rsidP="0073279E">
      <w:pPr>
        <w:rPr>
          <w:lang w:val="en-GB"/>
        </w:rPr>
      </w:pPr>
    </w:p>
    <w:p w14:paraId="55B7D7B7" w14:textId="6A632486" w:rsidR="00AF77CA" w:rsidRPr="002A784F" w:rsidRDefault="00AF77CA" w:rsidP="002A784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A784F">
        <w:rPr>
          <w:rFonts w:ascii="Arial" w:hAnsi="Arial" w:cs="Arial"/>
          <w:sz w:val="22"/>
          <w:szCs w:val="22"/>
        </w:rPr>
        <w:t>Following positions from LOT 1 Furniture</w:t>
      </w:r>
      <w:r w:rsidR="00110639">
        <w:rPr>
          <w:rFonts w:ascii="Arial" w:hAnsi="Arial" w:cs="Arial"/>
          <w:sz w:val="22"/>
          <w:szCs w:val="22"/>
          <w:lang w:val="en-US"/>
        </w:rPr>
        <w:t xml:space="preserve"> and equipment</w:t>
      </w:r>
      <w:r w:rsidRPr="002A784F">
        <w:rPr>
          <w:rFonts w:ascii="Arial" w:hAnsi="Arial" w:cs="Arial"/>
          <w:sz w:val="22"/>
          <w:szCs w:val="22"/>
        </w:rPr>
        <w:t xml:space="preserve"> are deleted: </w:t>
      </w:r>
    </w:p>
    <w:p w14:paraId="4CDFBFC0" w14:textId="77777777" w:rsidR="00AF77CA" w:rsidRDefault="00AF77CA" w:rsidP="00AF77CA">
      <w:pPr>
        <w:rPr>
          <w:rFonts w:ascii="Arial" w:hAnsi="Arial" w:cs="Arial"/>
          <w:sz w:val="22"/>
          <w:szCs w:val="22"/>
        </w:rPr>
      </w:pPr>
    </w:p>
    <w:p w14:paraId="1F895CB4" w14:textId="5FFB75B6" w:rsidR="00AF77CA" w:rsidRDefault="00AF77CA" w:rsidP="00AF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Sheet Furniture 3, file Technical specifications</w:t>
      </w:r>
      <w:r w:rsidRPr="00AF77C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All positions 1-30</w:t>
      </w:r>
    </w:p>
    <w:p w14:paraId="2E1B14D8" w14:textId="77777777" w:rsidR="00AF77CA" w:rsidRDefault="00AF77CA" w:rsidP="00AF77CA">
      <w:pPr>
        <w:rPr>
          <w:rFonts w:ascii="Arial" w:hAnsi="Arial" w:cs="Arial"/>
          <w:sz w:val="22"/>
          <w:szCs w:val="22"/>
        </w:rPr>
      </w:pPr>
    </w:p>
    <w:p w14:paraId="7D385A0C" w14:textId="02A046E1" w:rsidR="0073279E" w:rsidRPr="00D27942" w:rsidRDefault="0073279E" w:rsidP="00AF77CA">
      <w:pPr>
        <w:rPr>
          <w:rFonts w:ascii="Arial" w:hAnsi="Arial" w:cs="Arial"/>
          <w:sz w:val="22"/>
          <w:szCs w:val="22"/>
        </w:rPr>
      </w:pPr>
      <w:r w:rsidRPr="00D27942">
        <w:rPr>
          <w:rFonts w:ascii="Arial" w:hAnsi="Arial" w:cs="Arial"/>
          <w:sz w:val="22"/>
          <w:szCs w:val="22"/>
        </w:rPr>
        <w:lastRenderedPageBreak/>
        <w:t xml:space="preserve">Updated version of technical specifications </w:t>
      </w:r>
      <w:r w:rsidR="002A784F" w:rsidRPr="00D27942">
        <w:rPr>
          <w:rFonts w:ascii="Arial" w:hAnsi="Arial" w:cs="Arial"/>
          <w:sz w:val="22"/>
          <w:szCs w:val="22"/>
        </w:rPr>
        <w:t>is</w:t>
      </w:r>
      <w:r w:rsidRPr="00D27942">
        <w:rPr>
          <w:rFonts w:ascii="Arial" w:hAnsi="Arial" w:cs="Arial"/>
          <w:sz w:val="22"/>
          <w:szCs w:val="22"/>
        </w:rPr>
        <w:t xml:space="preserve"> given in excel file and is constituent part of this amendment.</w:t>
      </w:r>
    </w:p>
    <w:p w14:paraId="75E372CC" w14:textId="77777777" w:rsidR="0073279E" w:rsidRPr="00D27942" w:rsidRDefault="0073279E" w:rsidP="0073279E">
      <w:pPr>
        <w:rPr>
          <w:rFonts w:ascii="Arial" w:hAnsi="Arial" w:cs="Arial"/>
          <w:sz w:val="22"/>
          <w:szCs w:val="22"/>
        </w:rPr>
      </w:pPr>
      <w:r w:rsidRPr="00D27942">
        <w:rPr>
          <w:rFonts w:ascii="Arial" w:hAnsi="Arial" w:cs="Arial"/>
          <w:sz w:val="22"/>
          <w:szCs w:val="22"/>
        </w:rPr>
        <w:t>In order to prepare correct bids, regarding lots in which changes were made, the Bids should be prepared in accordance with the latest amendment, published on the website of the Purchaser.</w:t>
      </w:r>
    </w:p>
    <w:p w14:paraId="513099ED" w14:textId="77777777" w:rsidR="00200617" w:rsidRPr="00F848C7" w:rsidRDefault="00200617" w:rsidP="0041021E">
      <w:pPr>
        <w:jc w:val="both"/>
        <w:rPr>
          <w:rFonts w:ascii="Arial" w:hAnsi="Arial" w:cs="Arial"/>
          <w:sz w:val="22"/>
          <w:szCs w:val="22"/>
        </w:rPr>
      </w:pPr>
    </w:p>
    <w:p w14:paraId="7311F74F" w14:textId="77777777" w:rsidR="00200617" w:rsidRPr="00F848C7" w:rsidRDefault="00200617" w:rsidP="0041021E">
      <w:pPr>
        <w:jc w:val="both"/>
        <w:rPr>
          <w:rFonts w:ascii="Arial" w:hAnsi="Arial" w:cs="Arial"/>
          <w:sz w:val="22"/>
          <w:szCs w:val="22"/>
        </w:rPr>
      </w:pPr>
    </w:p>
    <w:p w14:paraId="6092BA3E" w14:textId="438E0616" w:rsidR="0041021E" w:rsidRPr="00F848C7" w:rsidRDefault="0041021E" w:rsidP="0041021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848C7">
        <w:rPr>
          <w:rFonts w:ascii="Arial" w:hAnsi="Arial" w:cs="Arial"/>
          <w:sz w:val="22"/>
          <w:szCs w:val="22"/>
        </w:rPr>
        <w:t>In all other aspects</w:t>
      </w:r>
      <w:r w:rsidRPr="00F848C7">
        <w:rPr>
          <w:rFonts w:ascii="Arial" w:hAnsi="Arial" w:cs="Arial"/>
          <w:sz w:val="22"/>
          <w:szCs w:val="22"/>
          <w:lang w:val="en-GB"/>
        </w:rPr>
        <w:t xml:space="preserve">, </w:t>
      </w:r>
      <w:r w:rsidR="007A3962" w:rsidRPr="007A3962">
        <w:rPr>
          <w:rFonts w:ascii="Arial" w:hAnsi="Arial" w:cs="Arial"/>
          <w:sz w:val="22"/>
          <w:szCs w:val="22"/>
          <w:lang w:val="en-GB"/>
        </w:rPr>
        <w:t xml:space="preserve">Procurement of Furniture and IT Equipment for Clinical </w:t>
      </w:r>
      <w:proofErr w:type="spellStart"/>
      <w:r w:rsidR="007A3962" w:rsidRPr="007A3962">
        <w:rPr>
          <w:rFonts w:ascii="Arial" w:hAnsi="Arial" w:cs="Arial"/>
          <w:sz w:val="22"/>
          <w:szCs w:val="22"/>
          <w:lang w:val="en-GB"/>
        </w:rPr>
        <w:t>center</w:t>
      </w:r>
      <w:proofErr w:type="spellEnd"/>
      <w:r w:rsidR="007A3962" w:rsidRPr="007A396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A3962" w:rsidRPr="007A3962">
        <w:rPr>
          <w:rFonts w:ascii="Arial" w:hAnsi="Arial" w:cs="Arial"/>
          <w:sz w:val="22"/>
          <w:szCs w:val="22"/>
          <w:lang w:val="en-GB"/>
        </w:rPr>
        <w:t>Zemun</w:t>
      </w:r>
      <w:proofErr w:type="spellEnd"/>
      <w:r w:rsidR="00F848C7" w:rsidRPr="00F848C7">
        <w:rPr>
          <w:rFonts w:ascii="Arial" w:hAnsi="Arial" w:cs="Arial"/>
          <w:noProof/>
          <w:sz w:val="22"/>
          <w:szCs w:val="22"/>
          <w:lang w:val="sr-Latn-RS"/>
        </w:rPr>
        <w:t>, No. IOP/</w:t>
      </w:r>
      <w:r w:rsidR="007A3962">
        <w:rPr>
          <w:rFonts w:ascii="Arial" w:hAnsi="Arial" w:cs="Arial"/>
          <w:noProof/>
          <w:sz w:val="22"/>
          <w:szCs w:val="22"/>
          <w:lang w:val="sr-Latn-RS"/>
        </w:rPr>
        <w:t>34</w:t>
      </w:r>
      <w:r w:rsidR="00F848C7" w:rsidRPr="00F848C7">
        <w:rPr>
          <w:rFonts w:ascii="Arial" w:hAnsi="Arial" w:cs="Arial"/>
          <w:noProof/>
          <w:sz w:val="22"/>
          <w:szCs w:val="22"/>
          <w:lang w:val="sr-Latn-RS"/>
        </w:rPr>
        <w:t>-201</w:t>
      </w:r>
      <w:r w:rsidR="007A3962">
        <w:rPr>
          <w:rFonts w:ascii="Arial" w:hAnsi="Arial" w:cs="Arial"/>
          <w:noProof/>
          <w:sz w:val="22"/>
          <w:szCs w:val="22"/>
          <w:lang w:val="sr-Latn-RS"/>
        </w:rPr>
        <w:t>9</w:t>
      </w:r>
      <w:r w:rsidR="00F848C7" w:rsidRPr="00F848C7">
        <w:rPr>
          <w:rFonts w:ascii="Arial" w:hAnsi="Arial" w:cs="Arial"/>
          <w:noProof/>
          <w:sz w:val="22"/>
          <w:szCs w:val="22"/>
          <w:lang w:val="sr-Latn-RS"/>
        </w:rPr>
        <w:t>/RD</w:t>
      </w:r>
      <w:r w:rsidR="002A67A0" w:rsidRPr="00F848C7">
        <w:rPr>
          <w:rStyle w:val="Strong"/>
          <w:rFonts w:ascii="Arial" w:hAnsi="Arial" w:cs="Arial"/>
          <w:sz w:val="22"/>
          <w:szCs w:val="22"/>
          <w:lang w:val="en-GB"/>
        </w:rPr>
        <w:t>,</w:t>
      </w:r>
      <w:r w:rsidRPr="00F848C7">
        <w:rPr>
          <w:rFonts w:ascii="Arial" w:hAnsi="Arial" w:cs="Arial"/>
          <w:sz w:val="22"/>
          <w:szCs w:val="22"/>
          <w:lang w:val="en-GB"/>
        </w:rPr>
        <w:t xml:space="preserve"> remains unchanged.</w:t>
      </w:r>
    </w:p>
    <w:p w14:paraId="73093AEA" w14:textId="77777777" w:rsidR="00A574C4" w:rsidRPr="00F848C7" w:rsidRDefault="00A574C4" w:rsidP="0041021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7FFBADB" w14:textId="7148FEB9" w:rsidR="0041021E" w:rsidRPr="00F848C7" w:rsidRDefault="002A784F" w:rsidP="002A784F">
      <w:pPr>
        <w:jc w:val="righ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Public Procurement Commission</w:t>
      </w:r>
    </w:p>
    <w:p w14:paraId="08391F25" w14:textId="31B7E071" w:rsidR="002A67A0" w:rsidRPr="00F848C7" w:rsidRDefault="00BE3405" w:rsidP="00BE3405">
      <w:pPr>
        <w:spacing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F848C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E2EDC8" w14:textId="77777777" w:rsidR="00DE2A6F" w:rsidRPr="00F848C7" w:rsidRDefault="00DE2A6F">
      <w:pPr>
        <w:rPr>
          <w:rFonts w:ascii="Arial" w:hAnsi="Arial" w:cs="Arial"/>
          <w:sz w:val="22"/>
          <w:szCs w:val="22"/>
        </w:rPr>
      </w:pPr>
    </w:p>
    <w:sectPr w:rsidR="00DE2A6F" w:rsidRPr="00F848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F655" w14:textId="77777777" w:rsidR="00D512EC" w:rsidRDefault="00D512EC" w:rsidP="00744C11">
      <w:r>
        <w:separator/>
      </w:r>
    </w:p>
  </w:endnote>
  <w:endnote w:type="continuationSeparator" w:id="0">
    <w:p w14:paraId="5B9DAC35" w14:textId="77777777" w:rsidR="00D512EC" w:rsidRDefault="00D512EC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B12D3D" w14:textId="77777777" w:rsidR="00744C11" w:rsidRDefault="00744C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550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9550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213F06" w14:textId="77777777" w:rsidR="00744C11" w:rsidRDefault="00744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E4114" w14:textId="77777777" w:rsidR="00D512EC" w:rsidRDefault="00D512EC" w:rsidP="00744C11">
      <w:r>
        <w:separator/>
      </w:r>
    </w:p>
  </w:footnote>
  <w:footnote w:type="continuationSeparator" w:id="0">
    <w:p w14:paraId="3EA9D76A" w14:textId="77777777" w:rsidR="00D512EC" w:rsidRDefault="00D512EC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656"/>
    <w:multiLevelType w:val="multilevel"/>
    <w:tmpl w:val="E19E2D16"/>
    <w:lvl w:ilvl="0">
      <w:start w:val="4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6"/>
        </w:tabs>
        <w:ind w:left="1256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9765E4A"/>
    <w:multiLevelType w:val="hybridMultilevel"/>
    <w:tmpl w:val="7BEA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B40"/>
    <w:multiLevelType w:val="hybridMultilevel"/>
    <w:tmpl w:val="BE6005DC"/>
    <w:lvl w:ilvl="0" w:tplc="ACDCF8A0">
      <w:start w:val="2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F210C95"/>
    <w:multiLevelType w:val="hybridMultilevel"/>
    <w:tmpl w:val="43A0D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1274282"/>
    <w:multiLevelType w:val="hybridMultilevel"/>
    <w:tmpl w:val="CD223B84"/>
    <w:lvl w:ilvl="0" w:tplc="66ECD250">
      <w:start w:val="2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2FE52C5"/>
    <w:multiLevelType w:val="hybridMultilevel"/>
    <w:tmpl w:val="7CAE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7C42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5"/>
    <w:rsid w:val="0000409E"/>
    <w:rsid w:val="00015343"/>
    <w:rsid w:val="00016810"/>
    <w:rsid w:val="00035442"/>
    <w:rsid w:val="00060B5E"/>
    <w:rsid w:val="00071A9D"/>
    <w:rsid w:val="000961EC"/>
    <w:rsid w:val="000A1CA3"/>
    <w:rsid w:val="000C396D"/>
    <w:rsid w:val="000D105E"/>
    <w:rsid w:val="000D314D"/>
    <w:rsid w:val="000F5549"/>
    <w:rsid w:val="00102F73"/>
    <w:rsid w:val="00110639"/>
    <w:rsid w:val="001113E7"/>
    <w:rsid w:val="001352D0"/>
    <w:rsid w:val="001428C9"/>
    <w:rsid w:val="001469F3"/>
    <w:rsid w:val="00153F27"/>
    <w:rsid w:val="00154EC5"/>
    <w:rsid w:val="00166142"/>
    <w:rsid w:val="00191A26"/>
    <w:rsid w:val="00196A52"/>
    <w:rsid w:val="001A6A8D"/>
    <w:rsid w:val="001B1F3C"/>
    <w:rsid w:val="001C5F11"/>
    <w:rsid w:val="001D1BA3"/>
    <w:rsid w:val="001E2533"/>
    <w:rsid w:val="00200617"/>
    <w:rsid w:val="00243981"/>
    <w:rsid w:val="00246EED"/>
    <w:rsid w:val="00284127"/>
    <w:rsid w:val="00291EE3"/>
    <w:rsid w:val="002A2429"/>
    <w:rsid w:val="002A67A0"/>
    <w:rsid w:val="002A784F"/>
    <w:rsid w:val="002C5507"/>
    <w:rsid w:val="002F3ACC"/>
    <w:rsid w:val="0031599E"/>
    <w:rsid w:val="003403A8"/>
    <w:rsid w:val="003419F3"/>
    <w:rsid w:val="00366749"/>
    <w:rsid w:val="0037499C"/>
    <w:rsid w:val="00396430"/>
    <w:rsid w:val="003A2BBA"/>
    <w:rsid w:val="003D10A3"/>
    <w:rsid w:val="003D2C7C"/>
    <w:rsid w:val="003D7450"/>
    <w:rsid w:val="003E6FDD"/>
    <w:rsid w:val="0041021E"/>
    <w:rsid w:val="00410AA7"/>
    <w:rsid w:val="004166C0"/>
    <w:rsid w:val="00425AB7"/>
    <w:rsid w:val="00433155"/>
    <w:rsid w:val="004343A4"/>
    <w:rsid w:val="0047222A"/>
    <w:rsid w:val="004763EB"/>
    <w:rsid w:val="0049409F"/>
    <w:rsid w:val="004B1F66"/>
    <w:rsid w:val="004E2773"/>
    <w:rsid w:val="004F430A"/>
    <w:rsid w:val="00504DAE"/>
    <w:rsid w:val="005076AE"/>
    <w:rsid w:val="00516DBC"/>
    <w:rsid w:val="005211DE"/>
    <w:rsid w:val="00522F71"/>
    <w:rsid w:val="00577543"/>
    <w:rsid w:val="00580DC5"/>
    <w:rsid w:val="005A5250"/>
    <w:rsid w:val="005F53AF"/>
    <w:rsid w:val="006067D2"/>
    <w:rsid w:val="00626A16"/>
    <w:rsid w:val="006867A0"/>
    <w:rsid w:val="006C55DF"/>
    <w:rsid w:val="006E088F"/>
    <w:rsid w:val="006E33FD"/>
    <w:rsid w:val="0071326D"/>
    <w:rsid w:val="00723C31"/>
    <w:rsid w:val="0073279E"/>
    <w:rsid w:val="007431E3"/>
    <w:rsid w:val="00744C11"/>
    <w:rsid w:val="00764999"/>
    <w:rsid w:val="0077739A"/>
    <w:rsid w:val="00782F32"/>
    <w:rsid w:val="007A3962"/>
    <w:rsid w:val="007B1DD5"/>
    <w:rsid w:val="007C0050"/>
    <w:rsid w:val="007C348E"/>
    <w:rsid w:val="007D45A5"/>
    <w:rsid w:val="007D7E48"/>
    <w:rsid w:val="007E2172"/>
    <w:rsid w:val="007E4276"/>
    <w:rsid w:val="007E59DB"/>
    <w:rsid w:val="00813E94"/>
    <w:rsid w:val="00831FA5"/>
    <w:rsid w:val="00844EB8"/>
    <w:rsid w:val="00852D3F"/>
    <w:rsid w:val="00864D35"/>
    <w:rsid w:val="00881A3C"/>
    <w:rsid w:val="00885781"/>
    <w:rsid w:val="00895066"/>
    <w:rsid w:val="00895437"/>
    <w:rsid w:val="008A23B3"/>
    <w:rsid w:val="008B2FAF"/>
    <w:rsid w:val="008B65B8"/>
    <w:rsid w:val="008C7792"/>
    <w:rsid w:val="008D3C50"/>
    <w:rsid w:val="008F5E31"/>
    <w:rsid w:val="00936357"/>
    <w:rsid w:val="00944F8E"/>
    <w:rsid w:val="0096087D"/>
    <w:rsid w:val="009D6E2E"/>
    <w:rsid w:val="009E5306"/>
    <w:rsid w:val="00A574C4"/>
    <w:rsid w:val="00A62E21"/>
    <w:rsid w:val="00A6336C"/>
    <w:rsid w:val="00A64480"/>
    <w:rsid w:val="00A908CB"/>
    <w:rsid w:val="00AB31D4"/>
    <w:rsid w:val="00AC0707"/>
    <w:rsid w:val="00AF77CA"/>
    <w:rsid w:val="00B27815"/>
    <w:rsid w:val="00B73A6F"/>
    <w:rsid w:val="00B774B7"/>
    <w:rsid w:val="00B80F18"/>
    <w:rsid w:val="00B9550E"/>
    <w:rsid w:val="00B9651E"/>
    <w:rsid w:val="00BC5FE9"/>
    <w:rsid w:val="00BD3DCB"/>
    <w:rsid w:val="00BE3405"/>
    <w:rsid w:val="00BE5480"/>
    <w:rsid w:val="00BF4D8B"/>
    <w:rsid w:val="00C01AB2"/>
    <w:rsid w:val="00C226AE"/>
    <w:rsid w:val="00C33364"/>
    <w:rsid w:val="00C47E58"/>
    <w:rsid w:val="00C545EC"/>
    <w:rsid w:val="00C736D0"/>
    <w:rsid w:val="00C85A67"/>
    <w:rsid w:val="00C939E0"/>
    <w:rsid w:val="00CC1D58"/>
    <w:rsid w:val="00CC694B"/>
    <w:rsid w:val="00CD3035"/>
    <w:rsid w:val="00CD3A51"/>
    <w:rsid w:val="00CF1805"/>
    <w:rsid w:val="00CF1C09"/>
    <w:rsid w:val="00D00AC8"/>
    <w:rsid w:val="00D27942"/>
    <w:rsid w:val="00D309A0"/>
    <w:rsid w:val="00D4500F"/>
    <w:rsid w:val="00D512EC"/>
    <w:rsid w:val="00D832E1"/>
    <w:rsid w:val="00DA51D5"/>
    <w:rsid w:val="00DB0EB8"/>
    <w:rsid w:val="00DE2A6F"/>
    <w:rsid w:val="00DE3134"/>
    <w:rsid w:val="00DF25C2"/>
    <w:rsid w:val="00E11F05"/>
    <w:rsid w:val="00E17960"/>
    <w:rsid w:val="00E24720"/>
    <w:rsid w:val="00E320B7"/>
    <w:rsid w:val="00E50EF5"/>
    <w:rsid w:val="00E53747"/>
    <w:rsid w:val="00E60724"/>
    <w:rsid w:val="00E7661A"/>
    <w:rsid w:val="00E809A9"/>
    <w:rsid w:val="00E85C0E"/>
    <w:rsid w:val="00EC1351"/>
    <w:rsid w:val="00EC6C74"/>
    <w:rsid w:val="00ED6127"/>
    <w:rsid w:val="00ED6354"/>
    <w:rsid w:val="00EE5161"/>
    <w:rsid w:val="00EF263B"/>
    <w:rsid w:val="00F316A5"/>
    <w:rsid w:val="00F7548D"/>
    <w:rsid w:val="00F828B8"/>
    <w:rsid w:val="00F82CD2"/>
    <w:rsid w:val="00F848C7"/>
    <w:rsid w:val="00F904B0"/>
    <w:rsid w:val="00FB32E6"/>
    <w:rsid w:val="00FC1919"/>
    <w:rsid w:val="00FC22E3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1FA0"/>
  <w15:chartTrackingRefBased/>
  <w15:docId w15:val="{ED7DC2EB-380C-476F-823D-89B6B277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customStyle="1" w:styleId="BankNormal">
    <w:name w:val="BankNormal"/>
    <w:basedOn w:val="Normal"/>
    <w:rsid w:val="001C5F11"/>
    <w:pPr>
      <w:spacing w:after="240"/>
    </w:pPr>
    <w:rPr>
      <w:szCs w:val="20"/>
    </w:rPr>
  </w:style>
  <w:style w:type="table" w:styleId="TableGrid">
    <w:name w:val="Table Grid"/>
    <w:basedOn w:val="TableNormal"/>
    <w:uiPriority w:val="59"/>
    <w:rsid w:val="001E2533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VHeader">
    <w:name w:val="Section V. Header"/>
    <w:basedOn w:val="Normal"/>
    <w:rsid w:val="00A908CB"/>
    <w:pPr>
      <w:jc w:val="center"/>
    </w:pPr>
    <w:rPr>
      <w:b/>
      <w:sz w:val="36"/>
    </w:rPr>
  </w:style>
  <w:style w:type="character" w:styleId="PlaceholderText">
    <w:name w:val="Placeholder Text"/>
    <w:basedOn w:val="DefaultParagraphFont"/>
    <w:uiPriority w:val="99"/>
    <w:semiHidden/>
    <w:rsid w:val="002A78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 Serbia</dc:creator>
  <cp:keywords/>
  <dc:description/>
  <cp:lastModifiedBy>marija stanisavljevic</cp:lastModifiedBy>
  <cp:revision>2</cp:revision>
  <cp:lastPrinted>2018-07-12T13:35:00Z</cp:lastPrinted>
  <dcterms:created xsi:type="dcterms:W3CDTF">2019-11-22T08:05:00Z</dcterms:created>
  <dcterms:modified xsi:type="dcterms:W3CDTF">2019-11-22T08:05:00Z</dcterms:modified>
</cp:coreProperties>
</file>