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87" w:rsidRDefault="00E54187" w:rsidP="00E54187">
      <w:pPr>
        <w:jc w:val="center"/>
        <w:rPr>
          <w:b/>
        </w:rPr>
      </w:pPr>
      <w:r>
        <w:rPr>
          <w:rFonts w:ascii="Arial" w:hAnsi="Arial"/>
          <w:noProof/>
        </w:rPr>
        <w:drawing>
          <wp:inline distT="0" distB="0" distL="0" distR="0">
            <wp:extent cx="586740" cy="9753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187" w:rsidRDefault="00E54187" w:rsidP="00E54187">
      <w:pPr>
        <w:jc w:val="center"/>
        <w:rPr>
          <w:b/>
        </w:rPr>
      </w:pPr>
      <w:r>
        <w:rPr>
          <w:b/>
        </w:rPr>
        <w:t>THE REPUBLIC OF SERBIA</w:t>
      </w:r>
    </w:p>
    <w:p w:rsidR="00E54187" w:rsidRDefault="00E54187" w:rsidP="00E54187">
      <w:pPr>
        <w:jc w:val="center"/>
        <w:rPr>
          <w:b/>
        </w:rPr>
      </w:pPr>
      <w:r>
        <w:rPr>
          <w:b/>
        </w:rPr>
        <w:t>Public Investment Management Office</w:t>
      </w:r>
    </w:p>
    <w:p w:rsidR="00E54187" w:rsidRDefault="00E54187" w:rsidP="00E54187">
      <w:pPr>
        <w:jc w:val="center"/>
      </w:pPr>
      <w:r>
        <w:t xml:space="preserve">As the Purchaser </w:t>
      </w:r>
    </w:p>
    <w:p w:rsidR="00E54187" w:rsidRDefault="00E54187" w:rsidP="00E54187">
      <w:pPr>
        <w:spacing w:before="200"/>
        <w:jc w:val="center"/>
        <w:rPr>
          <w:b/>
          <w:i/>
        </w:rPr>
      </w:pPr>
      <w:r>
        <w:rPr>
          <w:b/>
          <w:i/>
        </w:rPr>
        <w:t>Hereby ANNOUNCE</w:t>
      </w:r>
    </w:p>
    <w:p w:rsidR="00E54187" w:rsidRDefault="00E54187" w:rsidP="00E54187">
      <w:pPr>
        <w:jc w:val="center"/>
      </w:pPr>
    </w:p>
    <w:p w:rsidR="00E54187" w:rsidRDefault="00E54187" w:rsidP="00E54187">
      <w:pPr>
        <w:spacing w:after="120"/>
        <w:jc w:val="center"/>
        <w:rPr>
          <w:b/>
        </w:rPr>
      </w:pPr>
      <w:r>
        <w:rPr>
          <w:b/>
        </w:rPr>
        <w:t xml:space="preserve">AMENDMENT </w:t>
      </w:r>
      <w:r w:rsidR="004058F9">
        <w:rPr>
          <w:b/>
        </w:rPr>
        <w:t>TO</w:t>
      </w:r>
      <w:r>
        <w:rPr>
          <w:b/>
        </w:rPr>
        <w:t xml:space="preserve"> INTERNATIONAL INVITATION FOR TENDER</w:t>
      </w:r>
    </w:p>
    <w:p w:rsidR="00BA76C0" w:rsidRPr="00BA76C0" w:rsidRDefault="00BA76C0" w:rsidP="00482D2B">
      <w:pPr>
        <w:jc w:val="center"/>
        <w:rPr>
          <w:rFonts w:eastAsia="SimSun"/>
          <w:b/>
          <w:color w:val="000000"/>
          <w:lang w:eastAsia="zh-CN"/>
        </w:rPr>
      </w:pPr>
      <w:r w:rsidRPr="00BA76C0">
        <w:rPr>
          <w:b/>
          <w:lang w:val="en-GB"/>
        </w:rPr>
        <w:t>Procurement of Medical Devices for The Obstetrics and Gynaecology Clinic “</w:t>
      </w:r>
      <w:proofErr w:type="spellStart"/>
      <w:r w:rsidRPr="00BA76C0">
        <w:rPr>
          <w:b/>
          <w:lang w:val="en-GB"/>
        </w:rPr>
        <w:t>Višegradska</w:t>
      </w:r>
      <w:proofErr w:type="spellEnd"/>
      <w:r w:rsidRPr="00BA76C0">
        <w:rPr>
          <w:b/>
          <w:lang w:val="en-GB"/>
        </w:rPr>
        <w:t>”-Clinical Centre of Serbia</w:t>
      </w:r>
    </w:p>
    <w:p w:rsidR="00482D2B" w:rsidRDefault="00482D2B" w:rsidP="00482D2B">
      <w:pPr>
        <w:jc w:val="center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>NO. IOP/</w:t>
      </w:r>
      <w:r w:rsidR="00BA76C0">
        <w:rPr>
          <w:rFonts w:eastAsia="SimSun"/>
          <w:b/>
          <w:color w:val="000000"/>
          <w:lang w:eastAsia="zh-CN"/>
        </w:rPr>
        <w:t>18</w:t>
      </w:r>
      <w:r>
        <w:rPr>
          <w:rFonts w:eastAsia="SimSun"/>
          <w:b/>
          <w:color w:val="000000"/>
          <w:lang w:eastAsia="zh-CN"/>
        </w:rPr>
        <w:t>-201</w:t>
      </w:r>
      <w:r w:rsidR="00BA76C0">
        <w:rPr>
          <w:rFonts w:eastAsia="SimSun"/>
          <w:b/>
          <w:color w:val="000000"/>
          <w:lang w:eastAsia="zh-CN"/>
        </w:rPr>
        <w:t>8</w:t>
      </w:r>
      <w:r>
        <w:rPr>
          <w:rFonts w:eastAsia="SimSun"/>
          <w:b/>
          <w:color w:val="000000"/>
          <w:lang w:eastAsia="zh-CN"/>
        </w:rPr>
        <w:t>/RD</w:t>
      </w:r>
    </w:p>
    <w:p w:rsidR="00BE3405" w:rsidRDefault="000C396D" w:rsidP="00E54187">
      <w:pPr>
        <w:tabs>
          <w:tab w:val="left" w:pos="7096"/>
        </w:tabs>
        <w:jc w:val="center"/>
        <w:rPr>
          <w:b/>
          <w:bCs/>
          <w:lang w:val="en-GB"/>
        </w:rPr>
      </w:pPr>
      <w:r>
        <w:rPr>
          <w:b/>
          <w:bCs/>
          <w:lang w:val="en-GB"/>
        </w:rPr>
        <w:t>Issued on</w:t>
      </w:r>
      <w:r w:rsidR="00482D2B">
        <w:rPr>
          <w:b/>
          <w:bCs/>
          <w:lang w:val="en-GB"/>
        </w:rPr>
        <w:t xml:space="preserve"> </w:t>
      </w:r>
      <w:r w:rsidR="00BA76C0">
        <w:rPr>
          <w:b/>
          <w:bCs/>
          <w:lang w:val="en-GB"/>
        </w:rPr>
        <w:t>31st</w:t>
      </w:r>
      <w:r w:rsidR="00E54187">
        <w:rPr>
          <w:b/>
          <w:bCs/>
          <w:lang w:val="en-GB"/>
        </w:rPr>
        <w:t xml:space="preserve"> of </w:t>
      </w:r>
      <w:r w:rsidR="00BA76C0">
        <w:rPr>
          <w:b/>
          <w:bCs/>
          <w:lang w:val="en-GB"/>
        </w:rPr>
        <w:t>August</w:t>
      </w:r>
      <w:r w:rsidR="00B9651E">
        <w:rPr>
          <w:b/>
          <w:bCs/>
          <w:lang w:val="en-GB"/>
        </w:rPr>
        <w:t xml:space="preserve"> 201</w:t>
      </w:r>
      <w:r w:rsidR="00BA76C0">
        <w:rPr>
          <w:b/>
          <w:bCs/>
          <w:lang w:val="en-GB"/>
        </w:rPr>
        <w:t>8</w:t>
      </w:r>
    </w:p>
    <w:p w:rsidR="00E54187" w:rsidRDefault="00E54187" w:rsidP="00BE3405">
      <w:pPr>
        <w:spacing w:after="100" w:afterAutospacing="1"/>
        <w:jc w:val="both"/>
        <w:rPr>
          <w:bCs/>
          <w:lang w:val="en-GB"/>
        </w:rPr>
      </w:pPr>
    </w:p>
    <w:p w:rsidR="00BE3405" w:rsidRDefault="00C155B5" w:rsidP="00D05AE3">
      <w:pPr>
        <w:jc w:val="both"/>
        <w:rPr>
          <w:lang w:val="en-GB"/>
        </w:rPr>
      </w:pPr>
      <w:r>
        <w:t xml:space="preserve">Public Investment Management Office as the Purchaser hereby amends the Procurement Notice </w:t>
      </w:r>
      <w:r w:rsidR="00D46B11">
        <w:t xml:space="preserve">for </w:t>
      </w:r>
      <w:r>
        <w:t xml:space="preserve">an international open </w:t>
      </w:r>
      <w:r w:rsidR="009E2448">
        <w:t xml:space="preserve">tender </w:t>
      </w:r>
      <w:r>
        <w:t xml:space="preserve">procedure for the </w:t>
      </w:r>
      <w:r w:rsidR="00BA76C0" w:rsidRPr="00B27455">
        <w:rPr>
          <w:lang w:val="en-GB"/>
        </w:rPr>
        <w:t>Procurement of Medical Devices for The Obstetrics and Gynaecology Clinic “</w:t>
      </w:r>
      <w:proofErr w:type="spellStart"/>
      <w:r w:rsidR="00BA76C0" w:rsidRPr="00B27455">
        <w:rPr>
          <w:lang w:val="en-GB"/>
        </w:rPr>
        <w:t>Višegradska</w:t>
      </w:r>
      <w:proofErr w:type="spellEnd"/>
      <w:r w:rsidR="00BA76C0" w:rsidRPr="00B27455">
        <w:rPr>
          <w:lang w:val="en-GB"/>
        </w:rPr>
        <w:t>”-Clinical Centre of Serbia</w:t>
      </w:r>
      <w:r w:rsidR="00BA76C0" w:rsidRPr="00B27455">
        <w:rPr>
          <w:noProof/>
          <w:lang w:val="sr-Latn-RS"/>
        </w:rPr>
        <w:t>, No. IOP/18-2018/RD</w:t>
      </w:r>
      <w:r w:rsidR="00482D2B">
        <w:t>”</w:t>
      </w:r>
      <w:r w:rsidR="00482D2B">
        <w:rPr>
          <w:spacing w:val="-2"/>
        </w:rPr>
        <w:t xml:space="preserve"> </w:t>
      </w:r>
      <w:r>
        <w:rPr>
          <w:bCs/>
        </w:rPr>
        <w:t xml:space="preserve">published </w:t>
      </w:r>
      <w:r w:rsidR="00396430">
        <w:t xml:space="preserve"> </w:t>
      </w:r>
      <w:r w:rsidR="00D46B11" w:rsidRPr="000A2A7D">
        <w:t xml:space="preserve">on </w:t>
      </w:r>
      <w:r w:rsidR="00BA76C0">
        <w:t>28</w:t>
      </w:r>
      <w:r w:rsidR="00D46B11" w:rsidRPr="000A2A7D">
        <w:rPr>
          <w:vertAlign w:val="superscript"/>
        </w:rPr>
        <w:t>th</w:t>
      </w:r>
      <w:r w:rsidR="00D46B11" w:rsidRPr="000A2A7D">
        <w:t xml:space="preserve"> of </w:t>
      </w:r>
      <w:r w:rsidR="00BA76C0">
        <w:t>July</w:t>
      </w:r>
      <w:r w:rsidR="00D46B11" w:rsidRPr="000A2A7D">
        <w:t xml:space="preserve"> </w:t>
      </w:r>
      <w:r w:rsidR="00D05AE3" w:rsidRPr="000A2A7D">
        <w:t>201</w:t>
      </w:r>
      <w:r w:rsidR="00BA76C0">
        <w:t>8</w:t>
      </w:r>
      <w:r w:rsidR="00D05AE3" w:rsidRPr="000A2A7D">
        <w:t xml:space="preserve"> </w:t>
      </w:r>
      <w:r w:rsidR="000A2A7D" w:rsidRPr="000A2A7D">
        <w:rPr>
          <w:lang w:val="en-GB"/>
        </w:rPr>
        <w:t>in</w:t>
      </w:r>
      <w:r w:rsidR="00D46B11" w:rsidRPr="000A2A7D">
        <w:rPr>
          <w:lang w:val="en-GB"/>
        </w:rPr>
        <w:t xml:space="preserve"> the </w:t>
      </w:r>
      <w:r w:rsidR="000A2A7D" w:rsidRPr="000A2A7D">
        <w:rPr>
          <w:lang w:val="en-GB"/>
        </w:rPr>
        <w:t xml:space="preserve">Official Journal of the European Union (OJEU) and on </w:t>
      </w:r>
      <w:r w:rsidR="00BA76C0">
        <w:rPr>
          <w:lang w:val="en-GB"/>
        </w:rPr>
        <w:t>30</w:t>
      </w:r>
      <w:r w:rsidR="000A2A7D" w:rsidRPr="000A2A7D">
        <w:rPr>
          <w:vertAlign w:val="superscript"/>
          <w:lang w:val="en-GB"/>
        </w:rPr>
        <w:t>th</w:t>
      </w:r>
      <w:r w:rsidR="000A2A7D" w:rsidRPr="000A2A7D">
        <w:rPr>
          <w:lang w:val="en-GB"/>
        </w:rPr>
        <w:t xml:space="preserve"> of </w:t>
      </w:r>
      <w:r w:rsidR="00BA76C0">
        <w:rPr>
          <w:lang w:val="en-GB"/>
        </w:rPr>
        <w:t>July</w:t>
      </w:r>
      <w:r w:rsidR="000A2A7D">
        <w:rPr>
          <w:lang w:val="en-GB"/>
        </w:rPr>
        <w:t xml:space="preserve"> 201</w:t>
      </w:r>
      <w:r w:rsidR="00BA76C0">
        <w:rPr>
          <w:lang w:val="en-GB"/>
        </w:rPr>
        <w:t>8</w:t>
      </w:r>
      <w:r w:rsidR="000A2A7D">
        <w:rPr>
          <w:lang w:val="en-GB"/>
        </w:rPr>
        <w:t xml:space="preserve"> on</w:t>
      </w:r>
      <w:r w:rsidR="00BA76C0">
        <w:rPr>
          <w:lang w:val="en-GB"/>
        </w:rPr>
        <w:t xml:space="preserve"> </w:t>
      </w:r>
      <w:r w:rsidR="00D46B11">
        <w:rPr>
          <w:lang w:val="en-GB"/>
        </w:rPr>
        <w:t xml:space="preserve">the </w:t>
      </w:r>
      <w:r w:rsidR="00D46B11">
        <w:t xml:space="preserve">Purchaser’s website, in the part concerning </w:t>
      </w:r>
      <w:r w:rsidR="00BA76C0">
        <w:t>estimated values of the lots</w:t>
      </w:r>
      <w:r w:rsidR="00E11F05">
        <w:rPr>
          <w:lang w:val="en-GB"/>
        </w:rPr>
        <w:t>,</w:t>
      </w:r>
      <w:r w:rsidR="00BE3405">
        <w:rPr>
          <w:lang w:val="en-GB"/>
        </w:rPr>
        <w:t xml:space="preserve"> </w:t>
      </w:r>
      <w:r w:rsidR="00D05AE3">
        <w:rPr>
          <w:lang w:val="en-GB"/>
        </w:rPr>
        <w:t xml:space="preserve">so </w:t>
      </w:r>
      <w:r w:rsidR="00BE3405">
        <w:rPr>
          <w:lang w:val="en-GB"/>
        </w:rPr>
        <w:t xml:space="preserve">that </w:t>
      </w:r>
      <w:r w:rsidR="00D05AE3">
        <w:rPr>
          <w:lang w:val="en-GB"/>
        </w:rPr>
        <w:t xml:space="preserve">the </w:t>
      </w:r>
      <w:r w:rsidR="004058F9">
        <w:rPr>
          <w:lang w:val="en-GB"/>
        </w:rPr>
        <w:t>part that has been amend</w:t>
      </w:r>
      <w:r w:rsidR="00D05AE3">
        <w:rPr>
          <w:lang w:val="en-GB"/>
        </w:rPr>
        <w:t xml:space="preserve">ed </w:t>
      </w:r>
      <w:r w:rsidR="00BE3405">
        <w:rPr>
          <w:lang w:val="en-GB"/>
        </w:rPr>
        <w:t>reads as follows:</w:t>
      </w:r>
    </w:p>
    <w:p w:rsidR="00BA76C0" w:rsidRDefault="00BA76C0" w:rsidP="00D05AE3">
      <w:pPr>
        <w:jc w:val="both"/>
        <w:rPr>
          <w:lang w:val="en-GB"/>
        </w:rPr>
      </w:pPr>
    </w:p>
    <w:p w:rsidR="00BA76C0" w:rsidRPr="00DB1CC3" w:rsidRDefault="00BA76C0" w:rsidP="00BA76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pacing w:val="-2"/>
        </w:rPr>
      </w:pPr>
      <w:bookmarkStart w:id="0" w:name="_Hlk507146054"/>
      <w:bookmarkStart w:id="1" w:name="_GoBack"/>
      <w:bookmarkEnd w:id="1"/>
      <w:r w:rsidRPr="00DB1CC3">
        <w:rPr>
          <w:spacing w:val="-2"/>
        </w:rPr>
        <w:t>Lot 1 – Interventional and diagnostic equipment, estimated value 826.450 EUR</w:t>
      </w:r>
    </w:p>
    <w:p w:rsidR="00BA76C0" w:rsidRPr="00DB1CC3" w:rsidRDefault="00BA76C0" w:rsidP="00BA76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pacing w:val="-2"/>
        </w:rPr>
      </w:pPr>
      <w:r w:rsidRPr="00DB1CC3">
        <w:rPr>
          <w:spacing w:val="-2"/>
        </w:rPr>
        <w:t xml:space="preserve">Lot 2 – Auxiliary hospital and medical equipment, estimated value </w:t>
      </w:r>
      <w:r w:rsidR="0069695E">
        <w:rPr>
          <w:spacing w:val="-2"/>
        </w:rPr>
        <w:t>732.768</w:t>
      </w:r>
      <w:r w:rsidRPr="00DB1CC3">
        <w:rPr>
          <w:spacing w:val="-2"/>
        </w:rPr>
        <w:t xml:space="preserve"> EUR</w:t>
      </w:r>
    </w:p>
    <w:p w:rsidR="00BA76C0" w:rsidRPr="00DB1CC3" w:rsidRDefault="00BA76C0" w:rsidP="00BA76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pacing w:val="-2"/>
        </w:rPr>
      </w:pPr>
      <w:r w:rsidRPr="00DB1CC3">
        <w:rPr>
          <w:spacing w:val="-2"/>
        </w:rPr>
        <w:t>Lot 3 – Imaging, estimated value 586.300 EUR</w:t>
      </w:r>
    </w:p>
    <w:p w:rsidR="00BA76C0" w:rsidRPr="00DB1CC3" w:rsidRDefault="00BA76C0" w:rsidP="00BA76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pacing w:val="-2"/>
        </w:rPr>
      </w:pPr>
      <w:r w:rsidRPr="00DB1CC3">
        <w:rPr>
          <w:spacing w:val="-2"/>
        </w:rPr>
        <w:t xml:space="preserve">Lot 4 – OR and ICU, estimated value </w:t>
      </w:r>
      <w:r w:rsidR="0069695E">
        <w:rPr>
          <w:spacing w:val="-2"/>
        </w:rPr>
        <w:t>663</w:t>
      </w:r>
      <w:r w:rsidRPr="00DB1CC3">
        <w:rPr>
          <w:spacing w:val="-2"/>
        </w:rPr>
        <w:t>.700 EUR</w:t>
      </w:r>
    </w:p>
    <w:p w:rsidR="00BA76C0" w:rsidRPr="00DB1CC3" w:rsidRDefault="00BA76C0" w:rsidP="00BA76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pacing w:val="-2"/>
        </w:rPr>
      </w:pPr>
      <w:r w:rsidRPr="00DB1CC3">
        <w:rPr>
          <w:spacing w:val="-2"/>
        </w:rPr>
        <w:t>Lot 5 – Endoscopy equipment, estimated value 428.450 EUR</w:t>
      </w:r>
    </w:p>
    <w:p w:rsidR="00BA76C0" w:rsidRPr="00DB1CC3" w:rsidRDefault="00BA76C0" w:rsidP="00BA76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pacing w:val="-2"/>
        </w:rPr>
      </w:pPr>
      <w:r w:rsidRPr="00DB1CC3">
        <w:rPr>
          <w:spacing w:val="-2"/>
        </w:rPr>
        <w:t>Lot 6 – Laboratory, estimated value 3</w:t>
      </w:r>
      <w:r w:rsidR="0069695E">
        <w:rPr>
          <w:spacing w:val="-2"/>
        </w:rPr>
        <w:t>99</w:t>
      </w:r>
      <w:r w:rsidRPr="00DB1CC3">
        <w:rPr>
          <w:spacing w:val="-2"/>
        </w:rPr>
        <w:t>.</w:t>
      </w:r>
      <w:r w:rsidR="0069695E">
        <w:rPr>
          <w:spacing w:val="-2"/>
        </w:rPr>
        <w:t>350</w:t>
      </w:r>
      <w:r w:rsidRPr="00DB1CC3">
        <w:rPr>
          <w:spacing w:val="-2"/>
        </w:rPr>
        <w:t xml:space="preserve"> EUR</w:t>
      </w:r>
    </w:p>
    <w:p w:rsidR="00BA76C0" w:rsidRDefault="00BA76C0" w:rsidP="00BA76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spacing w:val="-2"/>
        </w:rPr>
      </w:pPr>
      <w:r w:rsidRPr="00DB1CC3">
        <w:rPr>
          <w:spacing w:val="-2"/>
        </w:rPr>
        <w:t>Lot 7 – Furniture and IT</w:t>
      </w:r>
      <w:bookmarkEnd w:id="0"/>
      <w:r w:rsidRPr="00DB1CC3">
        <w:rPr>
          <w:spacing w:val="-2"/>
        </w:rPr>
        <w:t>, estimated value 102.347 EUR</w:t>
      </w:r>
    </w:p>
    <w:p w:rsidR="00BA76C0" w:rsidRDefault="00BA76C0" w:rsidP="00D05AE3">
      <w:pPr>
        <w:jc w:val="both"/>
        <w:rPr>
          <w:lang w:val="en-GB"/>
        </w:rPr>
      </w:pPr>
    </w:p>
    <w:p w:rsidR="00D05AE3" w:rsidRPr="00D05AE3" w:rsidRDefault="00D05AE3" w:rsidP="00D05AE3">
      <w:pPr>
        <w:jc w:val="both"/>
        <w:rPr>
          <w:b/>
          <w:lang w:val="sr-Latn-CS"/>
        </w:rPr>
      </w:pPr>
    </w:p>
    <w:p w:rsidR="006E1463" w:rsidRDefault="00422FCF" w:rsidP="00EA49F3">
      <w:pPr>
        <w:spacing w:after="100" w:afterAutospacing="1"/>
        <w:jc w:val="both"/>
      </w:pPr>
      <w:r w:rsidRPr="00422FCF">
        <w:t>In all other aspects, Pr</w:t>
      </w:r>
      <w:r>
        <w:t xml:space="preserve">ocurement Notice for </w:t>
      </w:r>
      <w:r>
        <w:rPr>
          <w:spacing w:val="-2"/>
        </w:rPr>
        <w:t>“</w:t>
      </w:r>
      <w:r w:rsidR="0069695E" w:rsidRPr="00B27455">
        <w:rPr>
          <w:lang w:val="en-GB"/>
        </w:rPr>
        <w:t>Procurement of Medical Devices for The Obstetrics and Gynaecology Clinic “</w:t>
      </w:r>
      <w:proofErr w:type="spellStart"/>
      <w:r w:rsidR="0069695E" w:rsidRPr="00B27455">
        <w:rPr>
          <w:lang w:val="en-GB"/>
        </w:rPr>
        <w:t>Višegradska</w:t>
      </w:r>
      <w:proofErr w:type="spellEnd"/>
      <w:r w:rsidR="0069695E" w:rsidRPr="00B27455">
        <w:rPr>
          <w:lang w:val="en-GB"/>
        </w:rPr>
        <w:t>”-Clinical Centre of Serbia</w:t>
      </w:r>
      <w:r>
        <w:rPr>
          <w:bCs/>
        </w:rPr>
        <w:t>,</w:t>
      </w:r>
      <w:r w:rsidRPr="00422FCF">
        <w:t xml:space="preserve"> </w:t>
      </w:r>
      <w:r>
        <w:t>international open procedure, remains unchanged.</w:t>
      </w:r>
    </w:p>
    <w:p w:rsidR="006E1463" w:rsidRDefault="006E1463" w:rsidP="006E1463">
      <w:pPr>
        <w:spacing w:after="100" w:afterAutospacing="1"/>
        <w:jc w:val="center"/>
      </w:pPr>
      <w:r>
        <w:t>Rationale:</w:t>
      </w:r>
    </w:p>
    <w:p w:rsidR="00BE3405" w:rsidRPr="00D44FB0" w:rsidRDefault="006E1463" w:rsidP="00BE3405">
      <w:pPr>
        <w:spacing w:after="100" w:afterAutospacing="1"/>
        <w:jc w:val="both"/>
      </w:pPr>
      <w:r>
        <w:t xml:space="preserve">This amendment has been made </w:t>
      </w:r>
      <w:r w:rsidR="00365B95">
        <w:t>due to</w:t>
      </w:r>
      <w:r w:rsidR="000B5180">
        <w:t xml:space="preserve"> the</w:t>
      </w:r>
      <w:r>
        <w:t xml:space="preserve"> </w:t>
      </w:r>
      <w:r w:rsidR="00D44FB0">
        <w:rPr>
          <w:lang w:val="sr-Latn-RS"/>
        </w:rPr>
        <w:t xml:space="preserve">Addendum No. </w:t>
      </w:r>
      <w:r w:rsidR="0069695E">
        <w:rPr>
          <w:lang w:val="sr-Latn-RS"/>
        </w:rPr>
        <w:t>1</w:t>
      </w:r>
      <w:r w:rsidR="00FA2E2F">
        <w:rPr>
          <w:lang w:val="sr-Latn-RS"/>
        </w:rPr>
        <w:t xml:space="preserve"> to Tender Documents</w:t>
      </w:r>
      <w:r w:rsidR="000A2A7D">
        <w:rPr>
          <w:lang w:val="sr-Latn-RS"/>
        </w:rPr>
        <w:t xml:space="preserve"> that </w:t>
      </w:r>
      <w:r w:rsidR="00C14D10">
        <w:rPr>
          <w:lang w:val="sr-Latn-RS"/>
        </w:rPr>
        <w:t>shall</w:t>
      </w:r>
      <w:r w:rsidR="00C14D10" w:rsidRPr="00C14D10">
        <w:t xml:space="preserve"> </w:t>
      </w:r>
      <w:r w:rsidR="00C14D10">
        <w:t>be the part of the Tender Documents</w:t>
      </w:r>
      <w:r w:rsidR="00C14D10">
        <w:rPr>
          <w:lang w:val="sr-Latn-RS"/>
        </w:rPr>
        <w:t xml:space="preserve"> and that </w:t>
      </w:r>
      <w:r w:rsidR="000A2A7D">
        <w:rPr>
          <w:lang w:val="sr-Latn-RS"/>
        </w:rPr>
        <w:t>has been</w:t>
      </w:r>
      <w:r w:rsidR="00D44FB0">
        <w:rPr>
          <w:lang w:val="sr-Latn-RS"/>
        </w:rPr>
        <w:t xml:space="preserve"> issued</w:t>
      </w:r>
      <w:r w:rsidR="000A2A7D">
        <w:rPr>
          <w:lang w:val="sr-Latn-RS"/>
        </w:rPr>
        <w:t xml:space="preserve"> on the</w:t>
      </w:r>
      <w:r>
        <w:t xml:space="preserve"> </w:t>
      </w:r>
      <w:r w:rsidR="0069695E">
        <w:t>31</w:t>
      </w:r>
      <w:r w:rsidR="0069695E">
        <w:rPr>
          <w:vertAlign w:val="superscript"/>
        </w:rPr>
        <w:t>st</w:t>
      </w:r>
      <w:r w:rsidR="000A2A7D">
        <w:t xml:space="preserve"> </w:t>
      </w:r>
      <w:r w:rsidR="00365B95">
        <w:t xml:space="preserve">of </w:t>
      </w:r>
      <w:r w:rsidR="0069695E">
        <w:t>August</w:t>
      </w:r>
      <w:r w:rsidR="00365B95">
        <w:t xml:space="preserve"> 201</w:t>
      </w:r>
      <w:r w:rsidR="0069695E">
        <w:t>8</w:t>
      </w:r>
      <w:r w:rsidR="00D44FB0">
        <w:t>,</w:t>
      </w:r>
      <w:r w:rsidR="00D44FB0" w:rsidRPr="00D44FB0">
        <w:t xml:space="preserve"> </w:t>
      </w:r>
      <w:proofErr w:type="gramStart"/>
      <w:r w:rsidR="00D44FB0">
        <w:t>in order to</w:t>
      </w:r>
      <w:proofErr w:type="gramEnd"/>
      <w:r w:rsidR="00D44FB0">
        <w:t xml:space="preserve"> give prospective bidders rea</w:t>
      </w:r>
      <w:r w:rsidR="00D33B13">
        <w:t>sonable time in which to take the a</w:t>
      </w:r>
      <w:r w:rsidR="00D44FB0">
        <w:t>ddendum into account in preparing their bids.</w:t>
      </w:r>
      <w:r w:rsidR="00BE3405">
        <w:rPr>
          <w:lang w:val="en-GB"/>
        </w:rPr>
        <w:t xml:space="preserve"> </w:t>
      </w:r>
    </w:p>
    <w:tbl>
      <w:tblPr>
        <w:tblW w:w="0" w:type="auto"/>
        <w:tblInd w:w="510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7"/>
      </w:tblGrid>
      <w:tr w:rsidR="000C396D" w:rsidRPr="00A8208F" w:rsidTr="00E30940">
        <w:tc>
          <w:tcPr>
            <w:tcW w:w="42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96D" w:rsidRPr="00A8208F" w:rsidRDefault="00E30940" w:rsidP="00DD1820">
            <w:pPr>
              <w:jc w:val="center"/>
            </w:pPr>
            <w:r>
              <w:t>Procurement Committee</w:t>
            </w:r>
          </w:p>
        </w:tc>
      </w:tr>
    </w:tbl>
    <w:p w:rsidR="00DE2A6F" w:rsidRPr="00E30940" w:rsidRDefault="00DE2A6F">
      <w:pPr>
        <w:rPr>
          <w:lang w:val="sr-Latn-RS"/>
        </w:rPr>
      </w:pPr>
    </w:p>
    <w:sectPr w:rsidR="00DE2A6F" w:rsidRPr="00E3094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46F" w:rsidRDefault="001C646F" w:rsidP="00744C11">
      <w:r>
        <w:separator/>
      </w:r>
    </w:p>
  </w:endnote>
  <w:endnote w:type="continuationSeparator" w:id="0">
    <w:p w:rsidR="001C646F" w:rsidRDefault="001C646F" w:rsidP="0074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02715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44C11" w:rsidRDefault="00744C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3094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3094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44C11" w:rsidRDefault="00744C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46F" w:rsidRDefault="001C646F" w:rsidP="00744C11">
      <w:r>
        <w:separator/>
      </w:r>
    </w:p>
  </w:footnote>
  <w:footnote w:type="continuationSeparator" w:id="0">
    <w:p w:rsidR="001C646F" w:rsidRDefault="001C646F" w:rsidP="0074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7729"/>
    <w:multiLevelType w:val="singleLevel"/>
    <w:tmpl w:val="F000D4A6"/>
    <w:lvl w:ilvl="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14DF5ECD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5E4A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E5830"/>
    <w:multiLevelType w:val="hybridMultilevel"/>
    <w:tmpl w:val="39327FA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93E082F"/>
    <w:multiLevelType w:val="hybridMultilevel"/>
    <w:tmpl w:val="5768CA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33C7BA3"/>
    <w:multiLevelType w:val="hybridMultilevel"/>
    <w:tmpl w:val="077C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44C52"/>
    <w:multiLevelType w:val="hybridMultilevel"/>
    <w:tmpl w:val="8922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05"/>
    <w:rsid w:val="00016810"/>
    <w:rsid w:val="00041175"/>
    <w:rsid w:val="000A2A7D"/>
    <w:rsid w:val="000B5180"/>
    <w:rsid w:val="000C396D"/>
    <w:rsid w:val="00165B04"/>
    <w:rsid w:val="001B1F3C"/>
    <w:rsid w:val="001C646F"/>
    <w:rsid w:val="00252ABF"/>
    <w:rsid w:val="00284127"/>
    <w:rsid w:val="002A2429"/>
    <w:rsid w:val="002C5507"/>
    <w:rsid w:val="003403A8"/>
    <w:rsid w:val="003419F3"/>
    <w:rsid w:val="00342625"/>
    <w:rsid w:val="00365B95"/>
    <w:rsid w:val="00396430"/>
    <w:rsid w:val="003A2BBA"/>
    <w:rsid w:val="003C3413"/>
    <w:rsid w:val="003D2C7C"/>
    <w:rsid w:val="003D7450"/>
    <w:rsid w:val="004058F9"/>
    <w:rsid w:val="0041021E"/>
    <w:rsid w:val="00422FCF"/>
    <w:rsid w:val="0047222A"/>
    <w:rsid w:val="00482D2B"/>
    <w:rsid w:val="00492DFE"/>
    <w:rsid w:val="005236A2"/>
    <w:rsid w:val="005A28E7"/>
    <w:rsid w:val="005A3C89"/>
    <w:rsid w:val="005F53AF"/>
    <w:rsid w:val="0069695E"/>
    <w:rsid w:val="006E1463"/>
    <w:rsid w:val="006E33FD"/>
    <w:rsid w:val="00744C11"/>
    <w:rsid w:val="007A4E55"/>
    <w:rsid w:val="007B1DD5"/>
    <w:rsid w:val="007B64D4"/>
    <w:rsid w:val="008045C0"/>
    <w:rsid w:val="008275D4"/>
    <w:rsid w:val="00895437"/>
    <w:rsid w:val="008B65B8"/>
    <w:rsid w:val="008C7792"/>
    <w:rsid w:val="009C135A"/>
    <w:rsid w:val="009D6E2E"/>
    <w:rsid w:val="009E2448"/>
    <w:rsid w:val="00A62E21"/>
    <w:rsid w:val="00B80F18"/>
    <w:rsid w:val="00B9550E"/>
    <w:rsid w:val="00B9651E"/>
    <w:rsid w:val="00BA76C0"/>
    <w:rsid w:val="00BE3405"/>
    <w:rsid w:val="00BF4D8B"/>
    <w:rsid w:val="00C14D10"/>
    <w:rsid w:val="00C155B5"/>
    <w:rsid w:val="00CC1D58"/>
    <w:rsid w:val="00CD16DB"/>
    <w:rsid w:val="00D05AE3"/>
    <w:rsid w:val="00D33B13"/>
    <w:rsid w:val="00D44FB0"/>
    <w:rsid w:val="00D46B11"/>
    <w:rsid w:val="00DE2A6F"/>
    <w:rsid w:val="00DF729B"/>
    <w:rsid w:val="00E11F05"/>
    <w:rsid w:val="00E17960"/>
    <w:rsid w:val="00E30940"/>
    <w:rsid w:val="00E53747"/>
    <w:rsid w:val="00E54187"/>
    <w:rsid w:val="00E7661A"/>
    <w:rsid w:val="00EA49F3"/>
    <w:rsid w:val="00ED6127"/>
    <w:rsid w:val="00ED6354"/>
    <w:rsid w:val="00EE5161"/>
    <w:rsid w:val="00F316A5"/>
    <w:rsid w:val="00F904B0"/>
    <w:rsid w:val="00FA2E2F"/>
    <w:rsid w:val="00FC1919"/>
    <w:rsid w:val="00F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A1FC"/>
  <w15:chartTrackingRefBased/>
  <w15:docId w15:val="{ED7DC2EB-380C-476F-823D-89B6B277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E3405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E3405"/>
    <w:pPr>
      <w:ind w:left="720"/>
    </w:pPr>
    <w:rPr>
      <w:lang w:val="sr-Cyrl-CS"/>
    </w:rPr>
  </w:style>
  <w:style w:type="character" w:customStyle="1" w:styleId="ListParagraphChar">
    <w:name w:val="List Paragraph Char"/>
    <w:link w:val="ListParagraph"/>
    <w:uiPriority w:val="34"/>
    <w:rsid w:val="00BE340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lainText">
    <w:name w:val="Plain Text"/>
    <w:basedOn w:val="Normal"/>
    <w:link w:val="PlainTextChar"/>
    <w:uiPriority w:val="99"/>
    <w:unhideWhenUsed/>
    <w:rsid w:val="00BE340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405"/>
    <w:rPr>
      <w:rFonts w:ascii="Consolas" w:hAnsi="Consolas"/>
      <w:sz w:val="21"/>
      <w:szCs w:val="21"/>
    </w:rPr>
  </w:style>
  <w:style w:type="character" w:styleId="Hyperlink">
    <w:name w:val="Hyperlink"/>
    <w:uiPriority w:val="99"/>
    <w:rsid w:val="002841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6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4E55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52BE9-9301-4C3B-BE3C-7372AD20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Acadi Serbia</dc:creator>
  <cp:keywords/>
  <dc:description/>
  <cp:lastModifiedBy>Marija Stanisavljević</cp:lastModifiedBy>
  <cp:revision>2</cp:revision>
  <cp:lastPrinted>2017-10-20T07:43:00Z</cp:lastPrinted>
  <dcterms:created xsi:type="dcterms:W3CDTF">2018-08-31T12:48:00Z</dcterms:created>
  <dcterms:modified xsi:type="dcterms:W3CDTF">2018-08-31T12:48:00Z</dcterms:modified>
</cp:coreProperties>
</file>