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F0F6" w14:textId="77777777" w:rsidR="00CB00E6" w:rsidRPr="008D6F5B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>AMENDMENT No. 1 TO PROCUREMENT DOCUMENTS</w:t>
      </w:r>
    </w:p>
    <w:p w14:paraId="709FBD78" w14:textId="51B131DF" w:rsidR="00CB00E6" w:rsidRPr="003A75D1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4"/>
          <w:szCs w:val="24"/>
        </w:rPr>
      </w:pPr>
      <w:r w:rsidRPr="003A75D1">
        <w:rPr>
          <w:rFonts w:ascii="Times New Roman" w:hAnsi="Times New Roman"/>
          <w:b/>
          <w:sz w:val="24"/>
          <w:szCs w:val="24"/>
        </w:rPr>
        <w:t xml:space="preserve">Issued on </w:t>
      </w:r>
      <w:bookmarkStart w:id="0" w:name="_Hlk519597336"/>
      <w:r w:rsidRPr="003A75D1">
        <w:rPr>
          <w:rFonts w:ascii="Times New Roman" w:hAnsi="Times New Roman"/>
          <w:b/>
          <w:sz w:val="24"/>
          <w:szCs w:val="24"/>
        </w:rPr>
        <w:t>2</w:t>
      </w:r>
      <w:r w:rsidR="008D6F5B">
        <w:rPr>
          <w:rFonts w:ascii="Times New Roman" w:hAnsi="Times New Roman"/>
          <w:b/>
          <w:sz w:val="24"/>
          <w:szCs w:val="24"/>
        </w:rPr>
        <w:t>7</w:t>
      </w:r>
      <w:r w:rsidRPr="003A75D1">
        <w:rPr>
          <w:rFonts w:ascii="Times New Roman" w:hAnsi="Times New Roman"/>
          <w:b/>
          <w:sz w:val="24"/>
          <w:szCs w:val="24"/>
        </w:rPr>
        <w:t>th of February 20</w:t>
      </w:r>
      <w:bookmarkEnd w:id="0"/>
      <w:r w:rsidRPr="003A75D1">
        <w:rPr>
          <w:rFonts w:ascii="Times New Roman" w:hAnsi="Times New Roman"/>
          <w:b/>
          <w:sz w:val="24"/>
          <w:szCs w:val="24"/>
        </w:rPr>
        <w:t>20</w:t>
      </w:r>
    </w:p>
    <w:p w14:paraId="31699CAA" w14:textId="4F2351A5" w:rsidR="008769BF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 xml:space="preserve">FOR </w:t>
      </w:r>
      <w:bookmarkStart w:id="1" w:name="_Hlk22908219"/>
      <w:r w:rsidRPr="008D6F5B">
        <w:rPr>
          <w:rFonts w:ascii="Times New Roman" w:hAnsi="Times New Roman"/>
          <w:b/>
          <w:sz w:val="28"/>
          <w:szCs w:val="28"/>
        </w:rPr>
        <w:t xml:space="preserve">THE </w:t>
      </w:r>
      <w:bookmarkEnd w:id="1"/>
      <w:r w:rsidRPr="008D6F5B">
        <w:rPr>
          <w:rFonts w:ascii="Times New Roman" w:hAnsi="Times New Roman"/>
          <w:b/>
          <w:sz w:val="28"/>
          <w:szCs w:val="28"/>
        </w:rPr>
        <w:t>PROCUREMENT OF DIAGNOSTIC AND INTERVENTION IMAGING EQUIPMENT FOR CLINICAL CENTER ZEMUN</w:t>
      </w:r>
    </w:p>
    <w:p w14:paraId="3B3495F6" w14:textId="3FC63199" w:rsidR="003A75D1" w:rsidRPr="008D6F5B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>NO. IOP/37-2019/UHI</w:t>
      </w:r>
    </w:p>
    <w:p w14:paraId="6B69D176" w14:textId="77777777" w:rsidR="003A75D1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55958690" w14:textId="77777777" w:rsidR="00CB00E6" w:rsidRPr="003A75D1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="00CB00E6" w:rsidRPr="003A75D1">
        <w:rPr>
          <w:rFonts w:ascii="Times New Roman" w:hAnsi="Times New Roman"/>
          <w:sz w:val="24"/>
          <w:szCs w:val="24"/>
        </w:rPr>
        <w:t xml:space="preserve"> accordance with the Clause 8. Part 1. </w:t>
      </w:r>
      <w:bookmarkStart w:id="2" w:name="_Hlk519170825"/>
      <w:r w:rsidR="00CB00E6" w:rsidRPr="003A75D1">
        <w:rPr>
          <w:rFonts w:ascii="Times New Roman" w:hAnsi="Times New Roman"/>
          <w:sz w:val="24"/>
          <w:szCs w:val="24"/>
        </w:rPr>
        <w:t>Bidding Procedures, Section I. Instructions to Bidders</w:t>
      </w:r>
      <w:bookmarkEnd w:id="2"/>
      <w:r w:rsidR="00CB00E6" w:rsidRPr="003A75D1">
        <w:rPr>
          <w:rFonts w:ascii="Times New Roman" w:hAnsi="Times New Roman"/>
          <w:sz w:val="24"/>
          <w:szCs w:val="24"/>
        </w:rPr>
        <w:t xml:space="preserve">, Contents of Bidding Documents, Amendment of Bidding Documents of the Procurement Documents, Public Investment Management Office, No. 11 </w:t>
      </w:r>
      <w:proofErr w:type="spellStart"/>
      <w:r w:rsidR="00CB00E6" w:rsidRPr="003A75D1">
        <w:rPr>
          <w:rFonts w:ascii="Times New Roman" w:hAnsi="Times New Roman"/>
          <w:sz w:val="24"/>
          <w:szCs w:val="24"/>
        </w:rPr>
        <w:t>Nemanjina</w:t>
      </w:r>
      <w:proofErr w:type="spellEnd"/>
      <w:r w:rsidR="00CB00E6" w:rsidRPr="003A75D1">
        <w:rPr>
          <w:rFonts w:ascii="Times New Roman" w:hAnsi="Times New Roman"/>
          <w:sz w:val="24"/>
          <w:szCs w:val="24"/>
        </w:rPr>
        <w:t xml:space="preserve"> street, Republic of Serbia, as the Purchaser, hereby notifies all persons concerned for </w:t>
      </w:r>
      <w:r w:rsidRPr="003A75D1">
        <w:rPr>
          <w:rFonts w:ascii="Times New Roman" w:hAnsi="Times New Roman"/>
          <w:sz w:val="24"/>
          <w:szCs w:val="24"/>
        </w:rPr>
        <w:t xml:space="preserve">Procurement of Diagnostic and Intervention Imaging Equipment for Clinical Center </w:t>
      </w:r>
      <w:proofErr w:type="spellStart"/>
      <w:r w:rsidRPr="003A75D1">
        <w:rPr>
          <w:rFonts w:ascii="Times New Roman" w:hAnsi="Times New Roman"/>
          <w:sz w:val="24"/>
          <w:szCs w:val="24"/>
        </w:rPr>
        <w:t>Zemun</w:t>
      </w:r>
      <w:proofErr w:type="spellEnd"/>
      <w:r w:rsidRPr="003A75D1">
        <w:rPr>
          <w:rFonts w:ascii="Times New Roman" w:hAnsi="Times New Roman"/>
          <w:sz w:val="24"/>
          <w:szCs w:val="24"/>
        </w:rPr>
        <w:t>, No. IOP/37-2019/UHI</w:t>
      </w:r>
      <w:r w:rsidR="00CB00E6" w:rsidRPr="003A75D1">
        <w:rPr>
          <w:rFonts w:ascii="Times New Roman" w:hAnsi="Times New Roman"/>
          <w:sz w:val="24"/>
          <w:szCs w:val="24"/>
        </w:rPr>
        <w:t>, that there has been an amendment made in the Procurement Documents.</w:t>
      </w:r>
    </w:p>
    <w:p w14:paraId="64583553" w14:textId="77777777" w:rsidR="00CB00E6" w:rsidRPr="003A75D1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3A75D1">
        <w:rPr>
          <w:rFonts w:ascii="Times New Roman" w:hAnsi="Times New Roman"/>
          <w:sz w:val="24"/>
          <w:szCs w:val="24"/>
        </w:rPr>
        <w:t>The following provisions of Tender Documents are hereby replaced as follows:</w:t>
      </w:r>
    </w:p>
    <w:p w14:paraId="5B48DFB1" w14:textId="3FA5E775" w:rsidR="00E03C25" w:rsidRPr="00AD3289" w:rsidRDefault="00E03C25" w:rsidP="00AD3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Lot </w:t>
      </w:r>
      <w:r w:rsid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</w:t>
      </w:r>
      <w:r w:rsidR="00661407"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F75B7A"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Angiography</w:t>
      </w:r>
      <w:r w:rsidR="00661407"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line </w:t>
      </w:r>
      <w:r w:rsid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83</w:t>
      </w:r>
      <w:r w:rsidR="00661407"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follows:</w:t>
      </w:r>
    </w:p>
    <w:p w14:paraId="71D9E5AA" w14:textId="4F4C9A8D" w:rsidR="00F75B7A" w:rsidRDefault="00F75B7A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5B7A">
        <w:rPr>
          <w:rFonts w:ascii="Times New Roman" w:eastAsia="Times New Roman" w:hAnsi="Times New Roman" w:cs="Times New Roman"/>
          <w:sz w:val="24"/>
          <w:szCs w:val="20"/>
        </w:rPr>
        <w:t>Interface to connect with bidirectional communication to existing hemodynamic system Sensis, Siemens (software version VC12) or if not possible new hemodynamic system with following specification:</w:t>
      </w:r>
    </w:p>
    <w:p w14:paraId="2BB37FA8" w14:textId="1AC0CF35" w:rsidR="00661407" w:rsidRPr="00661407" w:rsidRDefault="00661407" w:rsidP="00FE4B94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140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45E6E50" w14:textId="15775D55" w:rsidR="00E03C25" w:rsidRDefault="00F75B7A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</w:t>
      </w:r>
      <w:r w:rsidRPr="00F75B7A">
        <w:rPr>
          <w:rFonts w:ascii="Times New Roman" w:eastAsia="Times New Roman" w:hAnsi="Times New Roman" w:cs="Times New Roman"/>
          <w:sz w:val="24"/>
          <w:szCs w:val="20"/>
        </w:rPr>
        <w:t>ew hemodynamic system with following specification:</w:t>
      </w:r>
    </w:p>
    <w:p w14:paraId="405F887F" w14:textId="1DC888B0" w:rsidR="00F75B7A" w:rsidRPr="00AD3289" w:rsidRDefault="00F75B7A" w:rsidP="00F75B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Lot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Angiography</w:t>
      </w: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line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95</w:t>
      </w: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follows:</w:t>
      </w:r>
    </w:p>
    <w:p w14:paraId="4B9B7CF8" w14:textId="0CE58E1E" w:rsidR="00AD3289" w:rsidRDefault="00F75B7A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Fully integrated FFR measurement with FFR display on hemodynamic monitor and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arhiving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 in patient folder together with other hemodynamic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paparameters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, supporting and fully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comaptible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 with FFR systems from minimum 2 manufacturers: Abbott (St. Jude Medical), Volcano, Boston Scientific and ACIST</w:t>
      </w:r>
    </w:p>
    <w:p w14:paraId="0D45951B" w14:textId="77777777" w:rsidR="00F75B7A" w:rsidRPr="00661407" w:rsidRDefault="00F75B7A" w:rsidP="00F75B7A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140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51DC799" w14:textId="68AEB871" w:rsidR="00FE4B94" w:rsidRDefault="00F75B7A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Fully integrated FFR measurement with FFR display on hemodynamic monitor and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arhiving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 in patient folder together with other hemodynamic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paparameters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, supporting and fully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comaptible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 with FFR systems from minimum 1 manufacturer: Abbott (St. Jude Medical), Volcano, Boston Scientific and ACIST</w:t>
      </w:r>
      <w:r w:rsidR="00CD74A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8C042FB" w14:textId="52D650F4" w:rsidR="00F75B7A" w:rsidRDefault="00F75B7A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3145A66" w14:textId="44FD46DD" w:rsidR="00F75B7A" w:rsidRPr="00F75B7A" w:rsidRDefault="00F75B7A" w:rsidP="00F75B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3" w:name="_Hlk33739494"/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 xml:space="preserve">Tender Documents are changed in Technical Specification, Lot 1, Angiography,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Elements scored, </w:t>
      </w:r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line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</w:t>
      </w:r>
      <w:bookmarkEnd w:id="3"/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02EC7C35" w14:textId="2E7DB28A" w:rsidR="00F75B7A" w:rsidRDefault="00F75B7A" w:rsidP="00F75B7A">
      <w:pPr>
        <w:pStyle w:val="ListParagraph"/>
        <w:ind w:left="4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5B7A">
        <w:rPr>
          <w:rFonts w:ascii="Times New Roman" w:eastAsia="Times New Roman" w:hAnsi="Times New Roman" w:cs="Times New Roman"/>
          <w:sz w:val="24"/>
          <w:szCs w:val="20"/>
        </w:rPr>
        <w:t>3D perfusion functional imaging acquisition protocols on workstation (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syngo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DynaPBV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 Neuro or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eqv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>.) that provide physiological information of distribution of blood in lesions and surrounding tissue by means of color-coded cross-sectional blood volume maps. Furthermore, it allows for quantitative measurement of parenchymal blood volume in brain and abdomen in order to assess changes in perfusion caused by treatment</w:t>
      </w:r>
    </w:p>
    <w:p w14:paraId="27373220" w14:textId="0B8AAEE0" w:rsidR="00F75B7A" w:rsidRDefault="00F75B7A" w:rsidP="00F75B7A">
      <w:pPr>
        <w:pStyle w:val="ListParagraph"/>
        <w:ind w:left="45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C1F5DDF" w14:textId="30BC3102" w:rsidR="00F75B7A" w:rsidRPr="00661407" w:rsidRDefault="00BA4BCF" w:rsidP="00F75B7A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BA4BCF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</w:t>
      </w:r>
      <w:r w:rsidR="00F75B7A" w:rsidRPr="0066140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2637228" w14:textId="2BA7EF14" w:rsidR="00F75B7A" w:rsidRDefault="00F75B7A" w:rsidP="00F75B7A">
      <w:pPr>
        <w:pStyle w:val="ListParagraph"/>
        <w:ind w:left="4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5B7A">
        <w:rPr>
          <w:rFonts w:ascii="Times New Roman" w:eastAsia="Times New Roman" w:hAnsi="Times New Roman" w:cs="Times New Roman"/>
          <w:sz w:val="24"/>
          <w:szCs w:val="20"/>
        </w:rPr>
        <w:t>3D perfusion functional imaging acquisition protocols on workstation (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syngo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DynaPBV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 xml:space="preserve"> Neuro and Body or </w:t>
      </w:r>
      <w:proofErr w:type="spellStart"/>
      <w:r w:rsidRPr="00F75B7A">
        <w:rPr>
          <w:rFonts w:ascii="Times New Roman" w:eastAsia="Times New Roman" w:hAnsi="Times New Roman" w:cs="Times New Roman"/>
          <w:sz w:val="24"/>
          <w:szCs w:val="20"/>
        </w:rPr>
        <w:t>eqvivalent</w:t>
      </w:r>
      <w:proofErr w:type="spellEnd"/>
      <w:r w:rsidRPr="00F75B7A">
        <w:rPr>
          <w:rFonts w:ascii="Times New Roman" w:eastAsia="Times New Roman" w:hAnsi="Times New Roman" w:cs="Times New Roman"/>
          <w:sz w:val="24"/>
          <w:szCs w:val="20"/>
        </w:rPr>
        <w:t>) that provide physiological information of distribution of blood in lesions and surrounding tissue by means of color-coded cross-sectional blood volume maps. Furthermore, it allows for quantitative measurement of parenchymal blood volume in brain and abdomen in order to assess changes in perfusion caused by treatment.</w:t>
      </w:r>
    </w:p>
    <w:p w14:paraId="3E4F981B" w14:textId="7BF93734" w:rsidR="00D012F2" w:rsidRPr="00BA4BCF" w:rsidRDefault="00D012F2" w:rsidP="00D012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Lot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CT Scanner</w:t>
      </w:r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Elements scored, </w:t>
      </w:r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line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4602E4DF" w14:textId="22C7C0DA" w:rsidR="00D012F2" w:rsidRDefault="00D012F2" w:rsidP="00D012F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4" w:name="_Hlk33739781"/>
      <w:r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Pr="00D012F2">
        <w:rPr>
          <w:rFonts w:ascii="Times New Roman" w:eastAsia="Times New Roman" w:hAnsi="Times New Roman" w:cs="Times New Roman"/>
          <w:sz w:val="24"/>
          <w:szCs w:val="20"/>
        </w:rPr>
        <w:t xml:space="preserve">Gantry tilt ±30⁰ (physical, </w:t>
      </w:r>
      <w:proofErr w:type="spellStart"/>
      <w:r w:rsidRPr="00D012F2">
        <w:rPr>
          <w:rFonts w:ascii="Times New Roman" w:eastAsia="Times New Roman" w:hAnsi="Times New Roman" w:cs="Times New Roman"/>
          <w:sz w:val="24"/>
          <w:szCs w:val="20"/>
        </w:rPr>
        <w:t>non digital</w:t>
      </w:r>
      <w:proofErr w:type="spellEnd"/>
      <w:r w:rsidRPr="00D012F2">
        <w:rPr>
          <w:rFonts w:ascii="Times New Roman" w:eastAsia="Times New Roman" w:hAnsi="Times New Roman" w:cs="Times New Roman"/>
          <w:sz w:val="24"/>
          <w:szCs w:val="20"/>
        </w:rPr>
        <w:t>)</w:t>
      </w:r>
    </w:p>
    <w:bookmarkEnd w:id="4"/>
    <w:p w14:paraId="643E2184" w14:textId="28721CAB" w:rsidR="00D012F2" w:rsidRDefault="00D012F2" w:rsidP="00D012F2">
      <w:pPr>
        <w:pStyle w:val="ListParagraph"/>
        <w:ind w:left="45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012F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CC28524" w14:textId="77777777" w:rsidR="00D012F2" w:rsidRPr="00D012F2" w:rsidRDefault="00D012F2" w:rsidP="00D012F2">
      <w:pPr>
        <w:pStyle w:val="ListParagraph"/>
        <w:ind w:left="45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21EA333D" w14:textId="266FEBB1" w:rsidR="00D012F2" w:rsidRDefault="00D012F2" w:rsidP="00F75B7A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Gantry tilt ±30⁰±6⁰ (physical, </w:t>
      </w:r>
      <w:proofErr w:type="spellStart"/>
      <w:r w:rsidRPr="00D012F2">
        <w:rPr>
          <w:rFonts w:ascii="Times New Roman" w:hAnsi="Times New Roman" w:cs="Times New Roman"/>
          <w:color w:val="000000" w:themeColor="text1"/>
          <w:sz w:val="24"/>
          <w:szCs w:val="24"/>
        </w:rPr>
        <w:t>non digital</w:t>
      </w:r>
      <w:proofErr w:type="spellEnd"/>
      <w:r w:rsidRPr="00D012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B19FBF" w14:textId="6F4A2FEF" w:rsidR="0020086F" w:rsidRDefault="0020086F" w:rsidP="00F75B7A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B8967" w14:textId="3DF3ADD1" w:rsidR="0020086F" w:rsidRDefault="0020086F" w:rsidP="0020086F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289">
        <w:rPr>
          <w:rFonts w:ascii="Times New Roman" w:hAnsi="Times New Roman"/>
          <w:b/>
          <w:sz w:val="24"/>
          <w:szCs w:val="24"/>
          <w:u w:val="single"/>
        </w:rPr>
        <w:t>Tender Documents are changed in Section III. Evaluation and Qualification Criteria, 1. Evaluation Criteria, THE CRITERIA AND THE MANNER OF EVALUATION (PONDERING) THE BIDS in part which reads as follows:</w:t>
      </w:r>
    </w:p>
    <w:p w14:paraId="7E470AF0" w14:textId="6865C559" w:rsidR="0020086F" w:rsidRDefault="00970BF9" w:rsidP="00970BF9">
      <w:pPr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 2</w:t>
      </w:r>
      <w:r w:rsidR="0020086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20086F" w:rsidRPr="0020086F">
        <w:rPr>
          <w:rFonts w:ascii="Times New Roman" w:eastAsia="Times New Roman" w:hAnsi="Times New Roman" w:cs="Times New Roman"/>
          <w:sz w:val="24"/>
          <w:szCs w:val="20"/>
        </w:rPr>
        <w:t xml:space="preserve">Gantry tilt ±30⁰ (physical, </w:t>
      </w:r>
      <w:proofErr w:type="spellStart"/>
      <w:r w:rsidR="0020086F" w:rsidRPr="0020086F">
        <w:rPr>
          <w:rFonts w:ascii="Times New Roman" w:eastAsia="Times New Roman" w:hAnsi="Times New Roman" w:cs="Times New Roman"/>
          <w:sz w:val="24"/>
          <w:szCs w:val="20"/>
        </w:rPr>
        <w:t>non digital</w:t>
      </w:r>
      <w:proofErr w:type="spellEnd"/>
      <w:r w:rsidR="0020086F" w:rsidRPr="0020086F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18263DB8" w14:textId="77777777" w:rsidR="0020086F" w:rsidRDefault="0020086F" w:rsidP="0020086F">
      <w:pPr>
        <w:pStyle w:val="ListParagraph"/>
        <w:ind w:left="45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012F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E1A7252" w14:textId="77777777" w:rsidR="0020086F" w:rsidRPr="00D012F2" w:rsidRDefault="0020086F" w:rsidP="0020086F">
      <w:pPr>
        <w:pStyle w:val="ListParagraph"/>
        <w:ind w:left="45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27A0694A" w14:textId="47772149" w:rsidR="0020086F" w:rsidRDefault="00970BF9" w:rsidP="0020086F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P 2  </w:t>
      </w:r>
      <w:r w:rsidR="0020086F" w:rsidRPr="00D01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Gantry tilt ±30⁰±6⁰ (physical, </w:t>
      </w:r>
      <w:proofErr w:type="spellStart"/>
      <w:r w:rsidR="0020086F" w:rsidRPr="00D012F2">
        <w:rPr>
          <w:rFonts w:ascii="Times New Roman" w:hAnsi="Times New Roman" w:cs="Times New Roman"/>
          <w:color w:val="000000" w:themeColor="text1"/>
          <w:sz w:val="24"/>
          <w:szCs w:val="24"/>
        </w:rPr>
        <w:t>non digital</w:t>
      </w:r>
      <w:proofErr w:type="spellEnd"/>
      <w:r w:rsidR="0020086F" w:rsidRPr="00D012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44D825" w14:textId="2C24C920" w:rsidR="00970BF9" w:rsidRDefault="00970BF9" w:rsidP="0020086F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F2DD1" w14:textId="77777777" w:rsidR="00970BF9" w:rsidRDefault="00970BF9" w:rsidP="00970BF9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289">
        <w:rPr>
          <w:rFonts w:ascii="Times New Roman" w:hAnsi="Times New Roman"/>
          <w:b/>
          <w:sz w:val="24"/>
          <w:szCs w:val="24"/>
          <w:u w:val="single"/>
        </w:rPr>
        <w:t>Tender Documents are changed in Section III. Evaluation and Qualification Criteria, 1. Evaluation Criteria, THE CRITERIA AND THE MANNER OF EVALUATION (PONDERING) THE BIDS in part which reads as follows:</w:t>
      </w:r>
    </w:p>
    <w:p w14:paraId="1C9E33AA" w14:textId="77777777" w:rsid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B365B" w14:textId="0D2697E7" w:rsidR="00393C3B" w:rsidRP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93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Determining the P2 ponder</w:t>
      </w:r>
    </w:p>
    <w:p w14:paraId="7190F97A" w14:textId="77777777" w:rsidR="00393C3B" w:rsidRP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BFB4E7" w14:textId="77777777" w:rsidR="00393C3B" w:rsidRP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number of ponders to be awarded based on whether offered system has gantry tilt ±30⁰ (physical, non-digital) shall be calculated based on the following: </w:t>
      </w:r>
    </w:p>
    <w:p w14:paraId="128BFE3A" w14:textId="77777777" w:rsidR="00393C3B" w:rsidRP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C3B">
        <w:rPr>
          <w:rFonts w:ascii="Times New Roman" w:hAnsi="Times New Roman" w:cs="Times New Roman"/>
          <w:color w:val="000000" w:themeColor="text1"/>
          <w:sz w:val="24"/>
          <w:szCs w:val="24"/>
        </w:rPr>
        <w:t>YES (included in offer), 5 ponders</w:t>
      </w:r>
    </w:p>
    <w:p w14:paraId="1A44A79F" w14:textId="0B1C6565" w:rsidR="00970BF9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C3B">
        <w:rPr>
          <w:rFonts w:ascii="Times New Roman" w:hAnsi="Times New Roman" w:cs="Times New Roman"/>
          <w:color w:val="000000" w:themeColor="text1"/>
          <w:sz w:val="24"/>
          <w:szCs w:val="24"/>
        </w:rPr>
        <w:t>NO (not included in offer), 0 ponders</w:t>
      </w:r>
    </w:p>
    <w:p w14:paraId="5B6A8AC3" w14:textId="215A4816" w:rsid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9B812C" w14:textId="77777777" w:rsidR="00393C3B" w:rsidRDefault="00393C3B" w:rsidP="00393C3B">
      <w:pPr>
        <w:pStyle w:val="ListParagraph"/>
        <w:ind w:left="45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012F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58DE1E60" w14:textId="77777777" w:rsid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9DFEAF7" w14:textId="7E45DA8C" w:rsidR="00393C3B" w:rsidRP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93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Determining the P2 ponder</w:t>
      </w:r>
    </w:p>
    <w:p w14:paraId="5FB75783" w14:textId="77777777" w:rsidR="00393C3B" w:rsidRPr="00D012F2" w:rsidRDefault="00393C3B" w:rsidP="00393C3B">
      <w:pPr>
        <w:pStyle w:val="ListParagraph"/>
        <w:ind w:left="45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6D5A003E" w14:textId="3C842C7B" w:rsidR="00393C3B" w:rsidRP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number of ponders to be awarded based on whether offered system has gantry tilt ±30⁰ </w:t>
      </w:r>
      <w:r w:rsidRPr="00D01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±6⁰ </w:t>
      </w:r>
      <w:r w:rsidRPr="00393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(physical, non-digital) shall be calculated based on the following: </w:t>
      </w:r>
    </w:p>
    <w:p w14:paraId="30C83526" w14:textId="77777777" w:rsidR="00393C3B" w:rsidRPr="00393C3B" w:rsidRDefault="00393C3B" w:rsidP="00393C3B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C3B">
        <w:rPr>
          <w:rFonts w:ascii="Times New Roman" w:hAnsi="Times New Roman" w:cs="Times New Roman"/>
          <w:color w:val="000000" w:themeColor="text1"/>
          <w:sz w:val="24"/>
          <w:szCs w:val="24"/>
        </w:rPr>
        <w:t>YES (included in offer), 5 ponders</w:t>
      </w:r>
    </w:p>
    <w:p w14:paraId="0C1DE3F5" w14:textId="11E6A636" w:rsidR="0020086F" w:rsidRDefault="00393C3B" w:rsidP="00BA4BCF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C3B">
        <w:rPr>
          <w:rFonts w:ascii="Times New Roman" w:hAnsi="Times New Roman" w:cs="Times New Roman"/>
          <w:color w:val="000000" w:themeColor="text1"/>
          <w:sz w:val="24"/>
          <w:szCs w:val="24"/>
        </w:rPr>
        <w:t>NO (not included in offer), 0 ponders</w:t>
      </w:r>
    </w:p>
    <w:p w14:paraId="58833351" w14:textId="3C549221" w:rsidR="00CD74A1" w:rsidRDefault="00CD74A1" w:rsidP="00BA4BCF">
      <w:pPr>
        <w:pStyle w:val="ListParagraph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6BE74" w14:textId="441E10F5" w:rsidR="00CD74A1" w:rsidRPr="0004193C" w:rsidRDefault="00CD74A1" w:rsidP="00D526D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In all other aspects, Tender documents for the Procurement of Diagnostic and Intervention Imaging Equipment for Clinical Center </w:t>
      </w:r>
      <w:proofErr w:type="spellStart"/>
      <w:r w:rsidRPr="00FE4B94">
        <w:rPr>
          <w:rFonts w:ascii="Times New Roman" w:eastAsia="Times New Roman" w:hAnsi="Times New Roman" w:cs="Times New Roman"/>
          <w:sz w:val="24"/>
          <w:szCs w:val="20"/>
        </w:rPr>
        <w:t>Zemun</w:t>
      </w:r>
      <w:proofErr w:type="spellEnd"/>
      <w:r w:rsidRPr="00FE4B94">
        <w:rPr>
          <w:rFonts w:ascii="Times New Roman" w:eastAsia="Times New Roman" w:hAnsi="Times New Roman" w:cs="Times New Roman"/>
          <w:sz w:val="24"/>
          <w:szCs w:val="20"/>
        </w:rPr>
        <w:t>, No. IOP/37-2019/UHI, remains unchanged.</w:t>
      </w:r>
    </w:p>
    <w:p w14:paraId="727F0BF9" w14:textId="77777777" w:rsidR="00FE4B94" w:rsidRPr="00FE4B94" w:rsidRDefault="00FE4B94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This Amendment to Procurement Documents is a constituent part of the Procurement of Diagnostic and Intervention Imaging Equipment for Clinical Center </w:t>
      </w:r>
      <w:proofErr w:type="spellStart"/>
      <w:r w:rsidRPr="00FE4B94">
        <w:rPr>
          <w:rFonts w:ascii="Times New Roman" w:eastAsia="Times New Roman" w:hAnsi="Times New Roman" w:cs="Times New Roman"/>
          <w:sz w:val="24"/>
          <w:szCs w:val="20"/>
        </w:rPr>
        <w:t>Zemun</w:t>
      </w:r>
      <w:proofErr w:type="spellEnd"/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, No. IOP/37-2019/UHI and will be posted on the Purchaser’s web site: </w:t>
      </w:r>
      <w:hyperlink r:id="rId7" w:history="1">
        <w:r w:rsidRPr="00FE4B94">
          <w:rPr>
            <w:rFonts w:ascii="Times New Roman" w:eastAsia="Times New Roman" w:hAnsi="Times New Roman" w:cs="Times New Roman"/>
            <w:sz w:val="24"/>
            <w:szCs w:val="20"/>
          </w:rPr>
          <w:t>http://www.obnova.gov.rs/english/public-procurement</w:t>
        </w:r>
      </w:hyperlink>
    </w:p>
    <w:p w14:paraId="5B202D13" w14:textId="73D99D12" w:rsidR="00FE4B94" w:rsidRPr="00FE4B94" w:rsidRDefault="00661407" w:rsidP="00E14C47">
      <w:pPr>
        <w:rPr>
          <w:rFonts w:ascii="Times New Roman" w:eastAsia="Times New Roman" w:hAnsi="Times New Roman" w:cs="Times New Roman"/>
          <w:sz w:val="24"/>
          <w:szCs w:val="20"/>
        </w:rPr>
      </w:pPr>
      <w:r w:rsidRPr="00661407">
        <w:rPr>
          <w:rFonts w:ascii="Times New Roman" w:eastAsia="Times New Roman" w:hAnsi="Times New Roman" w:cs="Times New Roman"/>
          <w:sz w:val="24"/>
          <w:szCs w:val="20"/>
        </w:rPr>
        <w:t xml:space="preserve">Updated version of technical specifications </w:t>
      </w:r>
      <w:r w:rsidR="0004193C" w:rsidRPr="00661407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66140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5" w:name="_GoBack"/>
      <w:bookmarkEnd w:id="5"/>
      <w:r w:rsidRPr="00661407">
        <w:rPr>
          <w:rFonts w:ascii="Times New Roman" w:eastAsia="Times New Roman" w:hAnsi="Times New Roman" w:cs="Times New Roman"/>
          <w:sz w:val="24"/>
          <w:szCs w:val="20"/>
        </w:rPr>
        <w:t>given in excel file and is constituent part of this amendment.</w:t>
      </w:r>
    </w:p>
    <w:p w14:paraId="7C6E0645" w14:textId="77777777" w:rsidR="00FE4B94" w:rsidRDefault="00FE4B94" w:rsidP="00FE4B94">
      <w:pPr>
        <w:pStyle w:val="BankNormal"/>
        <w:spacing w:after="200"/>
        <w:jc w:val="both"/>
      </w:pPr>
      <w:r w:rsidRPr="005B37B8">
        <w:t xml:space="preserve">In order to submit a responsive bid, bidders are expected to prepare their offers in accordance with this amendment. </w:t>
      </w:r>
    </w:p>
    <w:p w14:paraId="23F37323" w14:textId="44E21191" w:rsidR="00FE4B94" w:rsidRDefault="00FE4B94" w:rsidP="003A75D1">
      <w:pPr>
        <w:jc w:val="both"/>
        <w:rPr>
          <w:rFonts w:ascii="Times New Roman" w:hAnsi="Times New Roman"/>
          <w:sz w:val="24"/>
          <w:szCs w:val="24"/>
        </w:rPr>
      </w:pPr>
    </w:p>
    <w:p w14:paraId="2FC8C902" w14:textId="44D429B1" w:rsidR="00745E3B" w:rsidRDefault="00745E3B" w:rsidP="003A75D1">
      <w:pPr>
        <w:jc w:val="both"/>
        <w:rPr>
          <w:rFonts w:ascii="Times New Roman" w:hAnsi="Times New Roman"/>
          <w:sz w:val="24"/>
          <w:szCs w:val="24"/>
        </w:rPr>
      </w:pPr>
    </w:p>
    <w:p w14:paraId="1A504E95" w14:textId="77777777" w:rsidR="00745E3B" w:rsidRDefault="00745E3B" w:rsidP="003A75D1">
      <w:pPr>
        <w:jc w:val="both"/>
        <w:rPr>
          <w:rFonts w:ascii="Times New Roman" w:hAnsi="Times New Roman"/>
          <w:sz w:val="24"/>
          <w:szCs w:val="24"/>
        </w:rPr>
      </w:pPr>
    </w:p>
    <w:p w14:paraId="4D94D91C" w14:textId="77777777" w:rsidR="00CB00E6" w:rsidRPr="003A75D1" w:rsidRDefault="003A75D1" w:rsidP="00FE4B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Procurement Committee</w:t>
      </w:r>
    </w:p>
    <w:sectPr w:rsidR="00CB00E6" w:rsidRPr="003A75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9AE6" w14:textId="77777777" w:rsidR="003E25C1" w:rsidRDefault="003E25C1" w:rsidP="008769BF">
      <w:pPr>
        <w:spacing w:after="0" w:line="240" w:lineRule="auto"/>
      </w:pPr>
      <w:r>
        <w:separator/>
      </w:r>
    </w:p>
  </w:endnote>
  <w:endnote w:type="continuationSeparator" w:id="0">
    <w:p w14:paraId="08AC4843" w14:textId="77777777" w:rsidR="003E25C1" w:rsidRDefault="003E25C1" w:rsidP="008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7338430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05DDD8" w14:textId="4FC1EF12" w:rsidR="008769BF" w:rsidRPr="008769BF" w:rsidRDefault="008769B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4EDD4" w14:textId="77777777" w:rsidR="008769BF" w:rsidRDefault="00876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311C0" w14:textId="77777777" w:rsidR="003E25C1" w:rsidRDefault="003E25C1" w:rsidP="008769BF">
      <w:pPr>
        <w:spacing w:after="0" w:line="240" w:lineRule="auto"/>
      </w:pPr>
      <w:r>
        <w:separator/>
      </w:r>
    </w:p>
  </w:footnote>
  <w:footnote w:type="continuationSeparator" w:id="0">
    <w:p w14:paraId="1C5E850C" w14:textId="77777777" w:rsidR="003E25C1" w:rsidRDefault="003E25C1" w:rsidP="0087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5EE1"/>
    <w:multiLevelType w:val="hybridMultilevel"/>
    <w:tmpl w:val="CEC26CF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BFF44AD"/>
    <w:multiLevelType w:val="hybridMultilevel"/>
    <w:tmpl w:val="1E7CDF2C"/>
    <w:lvl w:ilvl="0" w:tplc="0444F9BC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9091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D2503E">
      <w:numFmt w:val="bullet"/>
      <w:lvlText w:val="•"/>
      <w:lvlJc w:val="left"/>
      <w:pPr>
        <w:ind w:left="1980" w:hanging="360"/>
      </w:pPr>
      <w:rPr>
        <w:rFonts w:ascii="Segoe UI" w:eastAsia="Times New Roman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4C4F02"/>
    <w:multiLevelType w:val="hybridMultilevel"/>
    <w:tmpl w:val="A18C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4DDF"/>
    <w:multiLevelType w:val="hybridMultilevel"/>
    <w:tmpl w:val="79201F5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E6"/>
    <w:rsid w:val="0004193C"/>
    <w:rsid w:val="0020086F"/>
    <w:rsid w:val="00223C22"/>
    <w:rsid w:val="00393C3B"/>
    <w:rsid w:val="003A75D1"/>
    <w:rsid w:val="003E25C1"/>
    <w:rsid w:val="00661407"/>
    <w:rsid w:val="00745E3B"/>
    <w:rsid w:val="008769BF"/>
    <w:rsid w:val="008D6F5B"/>
    <w:rsid w:val="00970BF9"/>
    <w:rsid w:val="00AD3289"/>
    <w:rsid w:val="00BA4BCF"/>
    <w:rsid w:val="00CB00E6"/>
    <w:rsid w:val="00CD74A1"/>
    <w:rsid w:val="00D012F2"/>
    <w:rsid w:val="00D526D9"/>
    <w:rsid w:val="00E03C25"/>
    <w:rsid w:val="00E14C47"/>
    <w:rsid w:val="00F75B7A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56C5"/>
  <w15:chartTrackingRefBased/>
  <w15:docId w15:val="{24384EE8-590F-4CF9-A775-81D298F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1">
    <w:name w:val="Bulleted list 1"/>
    <w:basedOn w:val="Normal"/>
    <w:link w:val="Bulletedlist1Char"/>
    <w:qFormat/>
    <w:rsid w:val="00CB00E6"/>
    <w:pPr>
      <w:numPr>
        <w:numId w:val="1"/>
      </w:numPr>
      <w:spacing w:after="120" w:line="240" w:lineRule="auto"/>
      <w:contextualSpacing/>
      <w:jc w:val="both"/>
    </w:pPr>
    <w:rPr>
      <w:rFonts w:ascii="Segoe UI" w:eastAsia="Times New Roman" w:hAnsi="Segoe UI" w:cs="Segoe UI"/>
      <w:szCs w:val="20"/>
      <w:lang w:val="uz-Cyrl-UZ"/>
    </w:rPr>
  </w:style>
  <w:style w:type="character" w:customStyle="1" w:styleId="Bulletedlist1Char">
    <w:name w:val="Bulleted list 1 Char"/>
    <w:link w:val="Bulletedlist1"/>
    <w:rsid w:val="00CB00E6"/>
    <w:rPr>
      <w:rFonts w:ascii="Segoe UI" w:eastAsia="Times New Roman" w:hAnsi="Segoe UI" w:cs="Segoe UI"/>
      <w:szCs w:val="20"/>
      <w:lang w:val="uz-Cyrl-UZ"/>
    </w:rPr>
  </w:style>
  <w:style w:type="paragraph" w:customStyle="1" w:styleId="BankNormal">
    <w:name w:val="BankNormal"/>
    <w:basedOn w:val="Normal"/>
    <w:rsid w:val="00FE4B9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D3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F"/>
  </w:style>
  <w:style w:type="paragraph" w:styleId="Footer">
    <w:name w:val="footer"/>
    <w:basedOn w:val="Normal"/>
    <w:link w:val="Foot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nova.gov.rs/english/public-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marija stanisavljevic</cp:lastModifiedBy>
  <cp:revision>9</cp:revision>
  <dcterms:created xsi:type="dcterms:W3CDTF">2020-02-27T22:47:00Z</dcterms:created>
  <dcterms:modified xsi:type="dcterms:W3CDTF">2020-02-27T23:05:00Z</dcterms:modified>
</cp:coreProperties>
</file>