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9B" w:rsidRDefault="00F46C46" w:rsidP="00EC4D54">
      <w:pPr>
        <w:spacing w:before="240" w:after="120"/>
        <w:jc w:val="center"/>
        <w:outlineLvl w:val="0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Obaveštenje o tenderu</w:t>
      </w:r>
    </w:p>
    <w:p w:rsidR="00096555" w:rsidRPr="00BB4D52" w:rsidRDefault="00F46C46" w:rsidP="00EC4D54">
      <w:pPr>
        <w:spacing w:before="240" w:after="120"/>
        <w:jc w:val="center"/>
        <w:outlineLvl w:val="0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K</w:t>
      </w:r>
      <w:r w:rsidR="00096555" w:rsidRPr="00BB4D52">
        <w:rPr>
          <w:rFonts w:cs="Arial"/>
          <w:b/>
          <w:szCs w:val="22"/>
          <w:lang w:val="en-GB"/>
        </w:rPr>
        <w:t>onsult</w:t>
      </w:r>
      <w:r>
        <w:rPr>
          <w:rFonts w:cs="Arial"/>
          <w:b/>
          <w:szCs w:val="22"/>
          <w:lang w:val="en-GB"/>
        </w:rPr>
        <w:t>antske usluge</w:t>
      </w:r>
      <w:r w:rsidR="00096555" w:rsidRPr="00BB4D52">
        <w:rPr>
          <w:rFonts w:cs="Arial"/>
          <w:b/>
          <w:szCs w:val="22"/>
          <w:lang w:val="en-GB"/>
        </w:rPr>
        <w:t xml:space="preserve"> </w:t>
      </w:r>
      <w:r>
        <w:rPr>
          <w:rFonts w:cs="Arial"/>
          <w:b/>
          <w:szCs w:val="22"/>
          <w:lang w:val="en-GB"/>
        </w:rPr>
        <w:t>–</w:t>
      </w:r>
      <w:r w:rsidR="00535F45" w:rsidRPr="00BB4D52">
        <w:rPr>
          <w:rFonts w:cs="Arial"/>
          <w:b/>
          <w:szCs w:val="22"/>
          <w:lang w:val="en-GB"/>
        </w:rPr>
        <w:t xml:space="preserve"> </w:t>
      </w:r>
      <w:r w:rsidR="00440F32" w:rsidRPr="00440F32">
        <w:rPr>
          <w:b/>
          <w:bCs/>
          <w:szCs w:val="22"/>
          <w:lang w:val="en-GB"/>
        </w:rPr>
        <w:t>Energ</w:t>
      </w:r>
      <w:r>
        <w:rPr>
          <w:b/>
          <w:bCs/>
          <w:szCs w:val="22"/>
          <w:lang w:val="en-GB"/>
        </w:rPr>
        <w:t>etska efikasnost u zgradama javne namene</w:t>
      </w:r>
      <w:r w:rsidR="00440F32" w:rsidRPr="00440F32">
        <w:rPr>
          <w:b/>
          <w:bCs/>
          <w:szCs w:val="22"/>
          <w:lang w:val="en-GB"/>
        </w:rPr>
        <w:t xml:space="preserve">, </w:t>
      </w:r>
      <w:r w:rsidR="008813D9">
        <w:rPr>
          <w:b/>
          <w:bCs/>
          <w:szCs w:val="22"/>
          <w:lang w:val="en-GB"/>
        </w:rPr>
        <w:t>faza</w:t>
      </w:r>
      <w:r w:rsidR="008813D9" w:rsidRPr="00440F32">
        <w:rPr>
          <w:b/>
          <w:bCs/>
          <w:szCs w:val="22"/>
          <w:lang w:val="en-GB"/>
        </w:rPr>
        <w:t xml:space="preserve"> II</w:t>
      </w:r>
      <w:r w:rsidR="008813D9">
        <w:rPr>
          <w:b/>
          <w:bCs/>
          <w:szCs w:val="22"/>
          <w:lang w:val="en-GB"/>
        </w:rPr>
        <w:t xml:space="preserve">          u Srbiji </w:t>
      </w:r>
    </w:p>
    <w:p w:rsidR="008238C6" w:rsidRDefault="00C435B9" w:rsidP="00EC4D54">
      <w:pPr>
        <w:jc w:val="center"/>
        <w:outlineLvl w:val="0"/>
        <w:rPr>
          <w:lang w:val="en-GB"/>
        </w:rPr>
      </w:pPr>
      <w:r>
        <w:rPr>
          <w:lang w:val="en-GB"/>
        </w:rPr>
        <w:t>Podnošenje ponuda u međ</w:t>
      </w:r>
      <w:r w:rsidR="0040760D">
        <w:rPr>
          <w:lang w:val="en-GB"/>
        </w:rPr>
        <w:t xml:space="preserve">unarodnom postupku za javnu nabavku </w:t>
      </w:r>
      <w:r w:rsidR="00096555" w:rsidRPr="00FC07F2">
        <w:rPr>
          <w:lang w:val="en-GB"/>
        </w:rPr>
        <w:t>(</w:t>
      </w:r>
      <w:r w:rsidR="00BE6C7F">
        <w:rPr>
          <w:lang w:val="en-GB"/>
        </w:rPr>
        <w:t>sa pretkvalifikacijom</w:t>
      </w:r>
      <w:r w:rsidR="00096555" w:rsidRPr="00FC07F2">
        <w:rPr>
          <w:lang w:val="en-GB"/>
        </w:rPr>
        <w:t>)</w:t>
      </w:r>
    </w:p>
    <w:p w:rsidR="007422AF" w:rsidRDefault="007422AF" w:rsidP="00EC4D54">
      <w:pPr>
        <w:jc w:val="center"/>
        <w:outlineLvl w:val="0"/>
        <w:rPr>
          <w:lang w:val="en-GB"/>
        </w:rPr>
      </w:pPr>
    </w:p>
    <w:p w:rsidR="007422AF" w:rsidRDefault="007422AF" w:rsidP="00EC4D54">
      <w:pPr>
        <w:jc w:val="center"/>
        <w:outlineLvl w:val="0"/>
        <w:rPr>
          <w:lang w:val="en-GB"/>
        </w:rPr>
      </w:pPr>
    </w:p>
    <w:tbl>
      <w:tblPr>
        <w:tblStyle w:val="TableGrid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7193"/>
      </w:tblGrid>
      <w:tr w:rsidR="007422AF" w:rsidTr="00C435B9">
        <w:tc>
          <w:tcPr>
            <w:tcW w:w="2329" w:type="dxa"/>
          </w:tcPr>
          <w:p w:rsidR="007422AF" w:rsidRDefault="00C435B9" w:rsidP="00C435B9">
            <w:pPr>
              <w:outlineLvl w:val="0"/>
              <w:rPr>
                <w:lang w:val="en-GB"/>
              </w:rPr>
            </w:pPr>
            <w:r>
              <w:rPr>
                <w:b/>
                <w:lang w:val="en-GB"/>
              </w:rPr>
              <w:t>P</w:t>
            </w:r>
            <w:r>
              <w:rPr>
                <w:b/>
                <w:lang w:val="en-GB"/>
              </w:rPr>
              <w:t>artner</w:t>
            </w:r>
            <w:r>
              <w:rPr>
                <w:b/>
                <w:lang w:val="en-GB"/>
              </w:rPr>
              <w:t>ska d</w:t>
            </w:r>
            <w:r w:rsidR="00BE6C7F">
              <w:rPr>
                <w:b/>
                <w:lang w:val="en-GB"/>
              </w:rPr>
              <w:t>ržava</w:t>
            </w:r>
            <w:r w:rsidR="007422AF" w:rsidRPr="00AD160F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7422AF" w:rsidRPr="00440F32" w:rsidRDefault="00DC4D22" w:rsidP="007422AF">
            <w:pPr>
              <w:outlineLvl w:val="0"/>
              <w:rPr>
                <w:lang w:val="en-GB"/>
              </w:rPr>
            </w:pPr>
            <w:r w:rsidRPr="00DC4D22">
              <w:rPr>
                <w:lang w:val="en-GB"/>
              </w:rPr>
              <w:t>Republi</w:t>
            </w:r>
            <w:r w:rsidR="00BE6C7F">
              <w:rPr>
                <w:lang w:val="en-GB"/>
              </w:rPr>
              <w:t>ka Srbija</w:t>
            </w:r>
            <w:r w:rsidR="00440F32">
              <w:rPr>
                <w:lang w:val="en-GB"/>
              </w:rPr>
              <w:t xml:space="preserve"> </w:t>
            </w:r>
          </w:p>
          <w:p w:rsidR="007422AF" w:rsidRDefault="007422AF" w:rsidP="007422AF">
            <w:pPr>
              <w:outlineLvl w:val="0"/>
              <w:rPr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Default="007422AF" w:rsidP="00BE6C7F">
            <w:pPr>
              <w:outlineLvl w:val="0"/>
              <w:rPr>
                <w:lang w:val="en-GB"/>
              </w:rPr>
            </w:pPr>
            <w:r w:rsidRPr="00AD160F">
              <w:rPr>
                <w:b/>
                <w:lang w:val="en-GB"/>
              </w:rPr>
              <w:t>Referenc</w:t>
            </w:r>
            <w:r w:rsidR="00BE6C7F">
              <w:rPr>
                <w:b/>
                <w:lang w:val="en-GB"/>
              </w:rPr>
              <w:t>a broj</w:t>
            </w:r>
            <w:r w:rsidRPr="00AD160F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7422AF" w:rsidRPr="00DE02CB" w:rsidRDefault="007422AF" w:rsidP="007422AF">
            <w:pPr>
              <w:outlineLvl w:val="0"/>
              <w:rPr>
                <w:lang w:val="pt-BR"/>
              </w:rPr>
            </w:pPr>
            <w:r w:rsidRPr="00DE02CB">
              <w:rPr>
                <w:lang w:val="pt-BR"/>
              </w:rPr>
              <w:t>BMZ</w:t>
            </w:r>
            <w:r w:rsidR="00BE6C7F">
              <w:rPr>
                <w:lang w:val="pt-BR"/>
              </w:rPr>
              <w:t xml:space="preserve"> </w:t>
            </w:r>
            <w:r w:rsidRPr="00DE02CB">
              <w:rPr>
                <w:lang w:val="pt-BR"/>
              </w:rPr>
              <w:t xml:space="preserve">No. </w:t>
            </w:r>
            <w:r w:rsidR="00440F32" w:rsidRPr="00DE02CB">
              <w:rPr>
                <w:rFonts w:cs="Arial"/>
                <w:szCs w:val="22"/>
                <w:lang w:val="pt-BR"/>
              </w:rPr>
              <w:t>2014 68 644, 2014 70 384</w:t>
            </w:r>
            <w:r w:rsidR="00BE6C7F">
              <w:rPr>
                <w:rFonts w:cs="Arial"/>
                <w:szCs w:val="22"/>
                <w:lang w:val="pt-BR"/>
              </w:rPr>
              <w:t xml:space="preserve"> </w:t>
            </w:r>
            <w:r w:rsidR="00BB4D52" w:rsidRPr="00DE02CB">
              <w:rPr>
                <w:lang w:val="pt-BR"/>
              </w:rPr>
              <w:t xml:space="preserve">KfW </w:t>
            </w:r>
            <w:r w:rsidR="00BB4D52" w:rsidRPr="00C32433">
              <w:rPr>
                <w:lang w:val="en-GB"/>
              </w:rPr>
              <w:t>Procurement</w:t>
            </w:r>
            <w:r w:rsidR="00BB4D52" w:rsidRPr="00DE02CB">
              <w:rPr>
                <w:lang w:val="pt-BR"/>
              </w:rPr>
              <w:t xml:space="preserve"> No.</w:t>
            </w:r>
            <w:r w:rsidR="00231FB6">
              <w:rPr>
                <w:lang w:val="pt-BR"/>
              </w:rPr>
              <w:t xml:space="preserve"> 505906</w:t>
            </w:r>
          </w:p>
          <w:p w:rsidR="007422AF" w:rsidRPr="00DE02CB" w:rsidRDefault="007422AF" w:rsidP="007422AF">
            <w:pPr>
              <w:outlineLvl w:val="0"/>
              <w:rPr>
                <w:lang w:val="pt-BR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Default="00BE6C7F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Rok za dostavu</w:t>
            </w:r>
            <w:r w:rsidR="007422AF" w:rsidRPr="007422AF">
              <w:rPr>
                <w:b/>
                <w:lang w:val="en-GB"/>
              </w:rPr>
              <w:t xml:space="preserve">: </w:t>
            </w:r>
          </w:p>
          <w:p w:rsidR="007422AF" w:rsidRPr="007422AF" w:rsidRDefault="007422AF" w:rsidP="007422AF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7193" w:type="dxa"/>
          </w:tcPr>
          <w:p w:rsidR="007422AF" w:rsidRDefault="00BE6C7F" w:rsidP="00BE6C7F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9. ok</w:t>
            </w:r>
            <w:r w:rsidR="009D4272">
              <w:rPr>
                <w:lang w:val="en-GB"/>
              </w:rPr>
              <w:t>tob</w:t>
            </w:r>
            <w:r>
              <w:rPr>
                <w:lang w:val="en-GB"/>
              </w:rPr>
              <w:t>a</w:t>
            </w:r>
            <w:r w:rsidR="009D4272">
              <w:rPr>
                <w:lang w:val="en-GB"/>
              </w:rPr>
              <w:t xml:space="preserve">r </w:t>
            </w:r>
            <w:r w:rsidR="001B27B1" w:rsidRPr="007A5BB3">
              <w:rPr>
                <w:lang w:val="en-GB"/>
              </w:rPr>
              <w:t>2020</w:t>
            </w:r>
            <w:r>
              <w:rPr>
                <w:lang w:val="en-GB"/>
              </w:rPr>
              <w:t xml:space="preserve"> </w:t>
            </w:r>
            <w:r w:rsidR="007422AF" w:rsidRPr="001B27B1">
              <w:rPr>
                <w:lang w:val="en-GB"/>
              </w:rPr>
              <w:t>(12:00</w:t>
            </w:r>
            <w:r>
              <w:rPr>
                <w:lang w:val="en-GB"/>
              </w:rPr>
              <w:t xml:space="preserve"> h</w:t>
            </w:r>
            <w:r w:rsidR="007422AF" w:rsidRPr="007422AF">
              <w:rPr>
                <w:lang w:val="en-GB"/>
              </w:rPr>
              <w:t xml:space="preserve"> </w:t>
            </w:r>
            <w:r>
              <w:rPr>
                <w:lang w:val="en-GB"/>
              </w:rPr>
              <w:t>po lok</w:t>
            </w:r>
            <w:r w:rsidR="007422AF" w:rsidRPr="007422AF">
              <w:rPr>
                <w:lang w:val="en-GB"/>
              </w:rPr>
              <w:t>al</w:t>
            </w:r>
            <w:r>
              <w:rPr>
                <w:lang w:val="en-GB"/>
              </w:rPr>
              <w:t>nom vremenu u Srbiji</w:t>
            </w:r>
            <w:r w:rsidR="007422AF" w:rsidRPr="007422AF">
              <w:rPr>
                <w:lang w:val="en-GB"/>
              </w:rPr>
              <w:t>)</w:t>
            </w:r>
          </w:p>
        </w:tc>
      </w:tr>
      <w:tr w:rsidR="00772348" w:rsidRPr="001B27B1" w:rsidTr="00C435B9">
        <w:tc>
          <w:tcPr>
            <w:tcW w:w="2329" w:type="dxa"/>
          </w:tcPr>
          <w:p w:rsidR="00772348" w:rsidRDefault="00BE6C7F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Jezik</w:t>
            </w:r>
            <w:r w:rsidR="00772348">
              <w:rPr>
                <w:b/>
                <w:lang w:val="en-GB"/>
              </w:rPr>
              <w:t xml:space="preserve"> </w:t>
            </w:r>
          </w:p>
          <w:p w:rsidR="00772348" w:rsidRPr="007422AF" w:rsidRDefault="00772348" w:rsidP="007422AF">
            <w:pPr>
              <w:outlineLvl w:val="0"/>
              <w:rPr>
                <w:b/>
                <w:lang w:val="en-GB"/>
              </w:rPr>
            </w:pPr>
          </w:p>
        </w:tc>
        <w:tc>
          <w:tcPr>
            <w:tcW w:w="7193" w:type="dxa"/>
          </w:tcPr>
          <w:p w:rsidR="00772348" w:rsidRPr="001B27B1" w:rsidRDefault="00BE6C7F" w:rsidP="007422AF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engleski</w:t>
            </w:r>
          </w:p>
        </w:tc>
      </w:tr>
      <w:tr w:rsidR="007422AF" w:rsidTr="00C435B9">
        <w:tc>
          <w:tcPr>
            <w:tcW w:w="2329" w:type="dxa"/>
          </w:tcPr>
          <w:p w:rsidR="007422AF" w:rsidRPr="007422AF" w:rsidRDefault="00BE6C7F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Pretkvalifikacija</w:t>
            </w:r>
            <w:r w:rsidR="007422AF" w:rsidRPr="007422AF">
              <w:rPr>
                <w:b/>
                <w:lang w:val="en-GB"/>
              </w:rPr>
              <w:t xml:space="preserve">: </w:t>
            </w:r>
          </w:p>
        </w:tc>
        <w:tc>
          <w:tcPr>
            <w:tcW w:w="7193" w:type="dxa"/>
          </w:tcPr>
          <w:p w:rsidR="007422AF" w:rsidRDefault="008813D9" w:rsidP="007422AF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Poziv za iskazivanje </w:t>
            </w:r>
            <w:r w:rsidR="009A187D">
              <w:rPr>
                <w:lang w:val="en-GB"/>
              </w:rPr>
              <w:t>za</w:t>
            </w:r>
            <w:r>
              <w:rPr>
                <w:lang w:val="en-GB"/>
              </w:rPr>
              <w:t>interesovan</w:t>
            </w:r>
            <w:r w:rsidR="009A187D">
              <w:rPr>
                <w:lang w:val="en-GB"/>
              </w:rPr>
              <w:t>osti</w:t>
            </w:r>
          </w:p>
          <w:p w:rsidR="007422AF" w:rsidRDefault="007422AF" w:rsidP="007422AF">
            <w:pPr>
              <w:outlineLvl w:val="0"/>
              <w:rPr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Pr="007422AF" w:rsidRDefault="007422AF" w:rsidP="008813D9">
            <w:pPr>
              <w:outlineLvl w:val="0"/>
              <w:rPr>
                <w:b/>
                <w:lang w:val="en-GB"/>
              </w:rPr>
            </w:pPr>
            <w:r w:rsidRPr="007422AF">
              <w:rPr>
                <w:b/>
                <w:lang w:val="en-GB"/>
              </w:rPr>
              <w:t>Referenc</w:t>
            </w:r>
            <w:r w:rsidR="008813D9">
              <w:rPr>
                <w:b/>
                <w:lang w:val="en-GB"/>
              </w:rPr>
              <w:t>a</w:t>
            </w:r>
            <w:r w:rsidRPr="007422AF">
              <w:rPr>
                <w:b/>
                <w:lang w:val="en-GB"/>
              </w:rPr>
              <w:t xml:space="preserve">: </w:t>
            </w:r>
          </w:p>
        </w:tc>
        <w:tc>
          <w:tcPr>
            <w:tcW w:w="7193" w:type="dxa"/>
          </w:tcPr>
          <w:p w:rsidR="007422AF" w:rsidRDefault="008813D9" w:rsidP="00A03977">
            <w:pPr>
              <w:jc w:val="both"/>
              <w:outlineLvl w:val="0"/>
              <w:rPr>
                <w:lang w:val="en-GB"/>
              </w:rPr>
            </w:pPr>
            <w:r>
              <w:rPr>
                <w:lang w:val="en-GB"/>
              </w:rPr>
              <w:t xml:space="preserve">Medjunarodni otvoreni postupak za javnu nabavku konsultantskih usluga za Projekat </w:t>
            </w:r>
            <w:r w:rsidR="007422AF" w:rsidRPr="007422AF">
              <w:rPr>
                <w:lang w:val="en-GB"/>
              </w:rPr>
              <w:t>“</w:t>
            </w:r>
            <w:r w:rsidR="00440F32" w:rsidRPr="00440F32">
              <w:rPr>
                <w:lang w:val="en-GB"/>
              </w:rPr>
              <w:t>Energ</w:t>
            </w:r>
            <w:r>
              <w:rPr>
                <w:lang w:val="en-GB"/>
              </w:rPr>
              <w:t>etska efikasnost u zgradama javne namene, faza II</w:t>
            </w:r>
            <w:r w:rsidR="007422AF" w:rsidRPr="007422AF">
              <w:rPr>
                <w:lang w:val="en-GB"/>
              </w:rPr>
              <w:t>”</w:t>
            </w:r>
            <w:r w:rsidR="00440F32">
              <w:rPr>
                <w:lang w:val="en-GB"/>
              </w:rPr>
              <w:t xml:space="preserve"> </w:t>
            </w:r>
            <w:r>
              <w:rPr>
                <w:lang w:val="en-GB"/>
              </w:rPr>
              <w:t>u Srbiji</w:t>
            </w:r>
            <w:r w:rsidR="007422AF" w:rsidRPr="007422AF">
              <w:rPr>
                <w:lang w:val="en-GB"/>
              </w:rPr>
              <w:t>.</w:t>
            </w:r>
          </w:p>
          <w:p w:rsidR="007422AF" w:rsidRDefault="007422AF" w:rsidP="007422AF">
            <w:pPr>
              <w:outlineLvl w:val="0"/>
              <w:rPr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Pr="007422AF" w:rsidRDefault="008813D9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Poslodavac</w:t>
            </w:r>
            <w:r w:rsidR="007422AF" w:rsidRPr="007422AF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7422AF" w:rsidRDefault="008813D9" w:rsidP="007422AF">
            <w:pPr>
              <w:outlineLvl w:val="0"/>
              <w:rPr>
                <w:lang w:val="en-GB"/>
              </w:rPr>
            </w:pPr>
            <w:r>
              <w:rPr>
                <w:rFonts w:cs="Arial"/>
                <w:kern w:val="28"/>
                <w:lang w:val="en-US"/>
              </w:rPr>
              <w:t xml:space="preserve">Kancelarija za upravljanje javnim ulaganjima </w:t>
            </w:r>
            <w:r w:rsidR="00DC4D22">
              <w:rPr>
                <w:lang w:val="en-GB"/>
              </w:rPr>
              <w:t>(</w:t>
            </w:r>
            <w:r>
              <w:rPr>
                <w:lang w:val="en-GB"/>
              </w:rPr>
              <w:t>KUJU</w:t>
            </w:r>
            <w:r w:rsidR="00DC4D22">
              <w:rPr>
                <w:lang w:val="en-GB"/>
              </w:rPr>
              <w:t>)</w:t>
            </w:r>
          </w:p>
          <w:p w:rsidR="007422AF" w:rsidRPr="007422AF" w:rsidRDefault="008813D9" w:rsidP="008813D9">
            <w:pPr>
              <w:tabs>
                <w:tab w:val="left" w:pos="1875"/>
              </w:tabs>
              <w:outlineLvl w:val="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7422AF" w:rsidRPr="009D4272" w:rsidTr="00C435B9">
        <w:tc>
          <w:tcPr>
            <w:tcW w:w="2329" w:type="dxa"/>
          </w:tcPr>
          <w:p w:rsidR="007422AF" w:rsidRPr="007422AF" w:rsidRDefault="007422AF" w:rsidP="008813D9">
            <w:pPr>
              <w:outlineLvl w:val="0"/>
              <w:rPr>
                <w:b/>
                <w:lang w:val="en-GB"/>
              </w:rPr>
            </w:pPr>
            <w:r w:rsidRPr="00AD160F">
              <w:rPr>
                <w:b/>
                <w:lang w:val="en-GB"/>
              </w:rPr>
              <w:t>Finan</w:t>
            </w:r>
            <w:r w:rsidR="008813D9">
              <w:rPr>
                <w:b/>
                <w:lang w:val="en-GB"/>
              </w:rPr>
              <w:t>siranje</w:t>
            </w:r>
            <w:r w:rsidRPr="00AD160F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7422AF" w:rsidRPr="00BB4D52" w:rsidRDefault="003561F5" w:rsidP="00A03977">
            <w:pPr>
              <w:jc w:val="both"/>
              <w:outlineLvl w:val="0"/>
              <w:rPr>
                <w:lang w:val="en-US"/>
              </w:rPr>
            </w:pPr>
            <w:r w:rsidRPr="002D5A8D">
              <w:t>Projekat finansira Kf</w:t>
            </w:r>
            <w:r>
              <w:t>W</w:t>
            </w:r>
            <w:r w:rsidRPr="002D5A8D">
              <w:t xml:space="preserve"> kredit</w:t>
            </w:r>
            <w:r>
              <w:t>om</w:t>
            </w:r>
            <w:r w:rsidRPr="002D5A8D">
              <w:t xml:space="preserve"> u iznosu od 20 miliona</w:t>
            </w:r>
            <w:r>
              <w:t xml:space="preserve"> evra</w:t>
            </w:r>
            <w:r w:rsidRPr="002D5A8D">
              <w:t xml:space="preserve"> i </w:t>
            </w:r>
            <w:r>
              <w:t>bespovratnim sredstvima</w:t>
            </w:r>
            <w:r w:rsidR="009A6054">
              <w:t xml:space="preserve"> </w:t>
            </w:r>
            <w:r w:rsidRPr="002D5A8D">
              <w:t xml:space="preserve">u iznosu od </w:t>
            </w:r>
            <w:r>
              <w:t>1,5 mil</w:t>
            </w:r>
            <w:r w:rsidRPr="002D5A8D">
              <w:t>ion</w:t>
            </w:r>
            <w:r>
              <w:t>a evra</w:t>
            </w:r>
            <w:r w:rsidR="00826DC1">
              <w:rPr>
                <w:rFonts w:cs="Arial"/>
                <w:szCs w:val="22"/>
                <w:lang w:val="en-US"/>
              </w:rPr>
              <w:t>.</w:t>
            </w:r>
          </w:p>
          <w:p w:rsidR="007422AF" w:rsidRPr="007422AF" w:rsidRDefault="007422AF" w:rsidP="007422AF">
            <w:pPr>
              <w:outlineLvl w:val="0"/>
              <w:rPr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Default="003561F5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Kontekst</w:t>
            </w:r>
          </w:p>
          <w:p w:rsidR="007422AF" w:rsidRPr="007422AF" w:rsidRDefault="003561F5" w:rsidP="007422AF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Projekta</w:t>
            </w:r>
            <w:r w:rsidR="007422AF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DC4D22" w:rsidRDefault="00242277" w:rsidP="00440F32">
            <w:pPr>
              <w:jc w:val="both"/>
              <w:outlineLvl w:val="0"/>
              <w:rPr>
                <w:rFonts w:cs="Arial"/>
                <w:szCs w:val="22"/>
                <w:lang w:val="en-US"/>
              </w:rPr>
            </w:pPr>
            <w:r w:rsidRPr="002D5A8D">
              <w:t xml:space="preserve">Projekat </w:t>
            </w:r>
            <w:r>
              <w:t>“</w:t>
            </w:r>
            <w:r w:rsidRPr="002D5A8D">
              <w:t xml:space="preserve">Energetska efikasnost u zgradama </w:t>
            </w:r>
            <w:r>
              <w:t>javne namene</w:t>
            </w:r>
            <w:r w:rsidRPr="002D5A8D">
              <w:t>, faza II</w:t>
            </w:r>
            <w:r>
              <w:t>”</w:t>
            </w:r>
            <w:r w:rsidR="009A6054">
              <w:t xml:space="preserve"> </w:t>
            </w:r>
            <w:r w:rsidRPr="002D5A8D">
              <w:t xml:space="preserve">odnosi se </w:t>
            </w:r>
            <w:r w:rsidR="009A6054">
              <w:t xml:space="preserve">na energetski efikasnu sanaciju </w:t>
            </w:r>
            <w:r w:rsidRPr="002D5A8D">
              <w:t>50-60</w:t>
            </w:r>
            <w:r w:rsidR="009A6054">
              <w:t xml:space="preserve"> </w:t>
            </w:r>
            <w:r w:rsidRPr="002D5A8D">
              <w:t xml:space="preserve">zgrada </w:t>
            </w:r>
            <w:r>
              <w:t>javne namene</w:t>
            </w:r>
            <w:r w:rsidRPr="002D5A8D">
              <w:t xml:space="preserve"> u odabranim</w:t>
            </w:r>
            <w:r w:rsidR="009A6054">
              <w:t xml:space="preserve"> opštinama širom Srbije. </w:t>
            </w:r>
            <w:r>
              <w:t>Svrha P</w:t>
            </w:r>
            <w:r w:rsidRPr="002D5A8D">
              <w:t>rojekta je da doprinese poboljšanju energetskih performansi u ciljanim zgradama, ojača kapacitete za izvođenje decentralizovanih projekata javne infrastrukture sa fokusom na energetsku efikasnost i stimu</w:t>
            </w:r>
            <w:r w:rsidR="009A6054">
              <w:t xml:space="preserve">liše lokalne lance vrednosti. </w:t>
            </w:r>
            <w:r>
              <w:t>T</w:t>
            </w:r>
            <w:r w:rsidRPr="002D5A8D">
              <w:t xml:space="preserve">o će doprineti da stanovništvo i životna sredina imaju koristi od održivog, efikasnog i pouzdanog snabdevanja energijom, </w:t>
            </w:r>
            <w:r>
              <w:t xml:space="preserve">čime se priprema teren </w:t>
            </w:r>
            <w:r w:rsidRPr="002D5A8D">
              <w:t xml:space="preserve">za </w:t>
            </w:r>
            <w:r>
              <w:t>približavanje Srbije</w:t>
            </w:r>
            <w:r w:rsidRPr="002D5A8D">
              <w:t xml:space="preserve"> EU</w:t>
            </w:r>
            <w:r w:rsidR="00440F32" w:rsidRPr="004B0243">
              <w:rPr>
                <w:rFonts w:cs="Arial"/>
                <w:szCs w:val="22"/>
                <w:lang w:val="en-US"/>
              </w:rPr>
              <w:t>.</w:t>
            </w:r>
          </w:p>
          <w:p w:rsidR="00440F32" w:rsidRPr="00440F32" w:rsidRDefault="00440F32" w:rsidP="00440F32">
            <w:pPr>
              <w:jc w:val="both"/>
              <w:outlineLvl w:val="0"/>
              <w:rPr>
                <w:rFonts w:cs="Arial"/>
                <w:szCs w:val="22"/>
                <w:lang w:val="en-US"/>
              </w:rPr>
            </w:pPr>
          </w:p>
          <w:p w:rsidR="007422AF" w:rsidRPr="00440F32" w:rsidRDefault="00242277" w:rsidP="00440F32">
            <w:pPr>
              <w:jc w:val="both"/>
              <w:outlineLvl w:val="0"/>
              <w:rPr>
                <w:rFonts w:cs="Arial"/>
                <w:szCs w:val="22"/>
                <w:lang w:val="en-US"/>
              </w:rPr>
            </w:pPr>
            <w:r w:rsidRPr="002D5A8D">
              <w:t xml:space="preserve">Projekat pokriva energetski efikasnu sanaciju zgrada </w:t>
            </w:r>
            <w:r>
              <w:t>javne namene,</w:t>
            </w:r>
            <w:r w:rsidRPr="002D5A8D">
              <w:t xml:space="preserve"> pretežno </w:t>
            </w:r>
            <w:r>
              <w:t>iz</w:t>
            </w:r>
            <w:r w:rsidRPr="002D5A8D">
              <w:t xml:space="preserve"> sektor</w:t>
            </w:r>
            <w:r>
              <w:t>a</w:t>
            </w:r>
            <w:r w:rsidRPr="002D5A8D">
              <w:t xml:space="preserve"> obrazovanja, zdravstva, socijalne zaštit</w:t>
            </w:r>
            <w:r w:rsidR="009A6054">
              <w:t xml:space="preserve">e i sporta u opštinama Srbije. </w:t>
            </w:r>
            <w:r w:rsidRPr="002D5A8D">
              <w:t>Radovi na sanaciji, dobra i usluge mogu se podeliti u tri kategorije: 1) mer</w:t>
            </w:r>
            <w:r>
              <w:t>e energetske efikasnosti (npr. t</w:t>
            </w:r>
            <w:r w:rsidRPr="002D5A8D">
              <w:t>oplotna izolacija fasadnih zidova i krova, zamena sistema greja</w:t>
            </w:r>
            <w:r>
              <w:t>nja), 2) strukturne mere (npr. s</w:t>
            </w:r>
            <w:r w:rsidRPr="002D5A8D">
              <w:t xml:space="preserve">anacija konstrukcija, </w:t>
            </w:r>
            <w:r>
              <w:t>krečenje</w:t>
            </w:r>
            <w:r w:rsidRPr="002D5A8D">
              <w:t xml:space="preserve">, ugradnja sistema za prskanje) i 3) mere komfora (npr. </w:t>
            </w:r>
            <w:r>
              <w:t>sanacija</w:t>
            </w:r>
            <w:r w:rsidRPr="002D5A8D">
              <w:t xml:space="preserve"> sanitarni</w:t>
            </w:r>
            <w:r>
              <w:t>h prostorija, suzbijanje</w:t>
            </w:r>
            <w:r w:rsidR="009A6054">
              <w:t xml:space="preserve"> </w:t>
            </w:r>
            <w:r>
              <w:t>buđi</w:t>
            </w:r>
            <w:r w:rsidR="009A6054">
              <w:t xml:space="preserve">). </w:t>
            </w:r>
            <w:r w:rsidRPr="002D5A8D">
              <w:t xml:space="preserve">Najmanje 50% ukupnih investicionih troškova </w:t>
            </w:r>
            <w:r>
              <w:t xml:space="preserve">biće </w:t>
            </w:r>
            <w:r w:rsidRPr="002D5A8D">
              <w:t>usmere</w:t>
            </w:r>
            <w:r>
              <w:t>no</w:t>
            </w:r>
            <w:r w:rsidRPr="002D5A8D">
              <w:t xml:space="preserve"> na mere energetske efikasnosti</w:t>
            </w:r>
            <w:r w:rsidR="00440F32" w:rsidRPr="00440F32">
              <w:rPr>
                <w:rFonts w:cs="Arial"/>
                <w:szCs w:val="22"/>
                <w:lang w:val="en-US"/>
              </w:rPr>
              <w:t>.</w:t>
            </w:r>
          </w:p>
          <w:p w:rsidR="00440F32" w:rsidRPr="007422AF" w:rsidRDefault="00440F32" w:rsidP="00440F32">
            <w:pPr>
              <w:outlineLvl w:val="0"/>
              <w:rPr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Pr="007422AF" w:rsidRDefault="007422AF" w:rsidP="00242277">
            <w:pPr>
              <w:outlineLvl w:val="0"/>
              <w:rPr>
                <w:b/>
                <w:lang w:val="en-GB"/>
              </w:rPr>
            </w:pPr>
            <w:r w:rsidRPr="00627DF3">
              <w:rPr>
                <w:b/>
                <w:lang w:val="en-GB"/>
              </w:rPr>
              <w:t>Proje</w:t>
            </w:r>
            <w:r w:rsidR="00242277">
              <w:rPr>
                <w:b/>
                <w:lang w:val="en-GB"/>
              </w:rPr>
              <w:t>k</w:t>
            </w:r>
            <w:r w:rsidRPr="00627DF3">
              <w:rPr>
                <w:b/>
                <w:lang w:val="en-GB"/>
              </w:rPr>
              <w:t>t</w:t>
            </w:r>
            <w:r w:rsidR="00242277">
              <w:rPr>
                <w:b/>
                <w:lang w:val="en-GB"/>
              </w:rPr>
              <w:t>ne mere</w:t>
            </w:r>
            <w:r w:rsidRPr="00627DF3">
              <w:rPr>
                <w:b/>
                <w:lang w:val="en-GB"/>
              </w:rPr>
              <w:t>:</w:t>
            </w:r>
          </w:p>
        </w:tc>
        <w:tc>
          <w:tcPr>
            <w:tcW w:w="7193" w:type="dxa"/>
          </w:tcPr>
          <w:p w:rsidR="00CF6A89" w:rsidRDefault="00242277" w:rsidP="00CF6A89">
            <w:pPr>
              <w:jc w:val="both"/>
              <w:outlineLvl w:val="0"/>
              <w:rPr>
                <w:lang w:val="en-GB"/>
              </w:rPr>
            </w:pPr>
            <w:r w:rsidRPr="002D5A8D">
              <w:t xml:space="preserve">Projekat je podeljen na dva klastera, </w:t>
            </w:r>
            <w:r w:rsidR="009A6054">
              <w:t>Klaster I i Klaster II.</w:t>
            </w:r>
            <w:r>
              <w:t xml:space="preserve"> K</w:t>
            </w:r>
            <w:r w:rsidRPr="002D5A8D">
              <w:t xml:space="preserve">laster I </w:t>
            </w:r>
            <w:r>
              <w:t xml:space="preserve">će </w:t>
            </w:r>
            <w:r w:rsidRPr="002D5A8D">
              <w:t xml:space="preserve">osigurati kontinuirano finansiranje </w:t>
            </w:r>
            <w:r>
              <w:t xml:space="preserve">nacionalnog </w:t>
            </w:r>
            <w:r w:rsidRPr="002D5A8D">
              <w:t xml:space="preserve">programa </w:t>
            </w:r>
            <w:r>
              <w:t>“</w:t>
            </w:r>
            <w:r w:rsidRPr="002D5A8D">
              <w:t xml:space="preserve">Program rekonstrukcije i unapređenja objekata </w:t>
            </w:r>
            <w:r>
              <w:t>javne namene</w:t>
            </w:r>
            <w:r w:rsidRPr="002D5A8D">
              <w:t xml:space="preserve"> u </w:t>
            </w:r>
            <w:r>
              <w:t>javnoj svojini</w:t>
            </w:r>
            <w:r w:rsidRPr="002D5A8D">
              <w:t xml:space="preserve"> u sektorima obrazovanja, zdravstva, socijalne zaštite i sporta (</w:t>
            </w:r>
            <w:r>
              <w:t>“KUJU Program”)”</w:t>
            </w:r>
            <w:r w:rsidR="00CF6A89" w:rsidRPr="00CF6A89">
              <w:rPr>
                <w:lang w:val="en-GB"/>
              </w:rPr>
              <w:t>.</w:t>
            </w:r>
          </w:p>
          <w:p w:rsidR="00CF6A89" w:rsidRPr="00CF6A89" w:rsidRDefault="00CF6A89" w:rsidP="00CF6A89">
            <w:pPr>
              <w:jc w:val="both"/>
              <w:outlineLvl w:val="0"/>
              <w:rPr>
                <w:lang w:val="en-GB"/>
              </w:rPr>
            </w:pPr>
          </w:p>
          <w:p w:rsidR="00CF6A89" w:rsidRDefault="00C53147" w:rsidP="00CF6A89">
            <w:pPr>
              <w:jc w:val="both"/>
              <w:outlineLvl w:val="0"/>
              <w:rPr>
                <w:lang w:val="en-GB"/>
              </w:rPr>
            </w:pPr>
            <w:r w:rsidRPr="002D5A8D">
              <w:t xml:space="preserve">Klaster II će </w:t>
            </w:r>
            <w:r>
              <w:t>uvesti</w:t>
            </w:r>
            <w:r w:rsidRPr="002D5A8D">
              <w:t xml:space="preserve"> strukturne i energetske preglede i energetske preglede nakon izgradnje u skladu sa DIN V 18599 i srodnim najnovijim direktivama EU za EE i EPB</w:t>
            </w:r>
            <w:r>
              <w:t xml:space="preserve"> (</w:t>
            </w:r>
            <w:r w:rsidRPr="00C435B9">
              <w:t>energetska efikasnost i energetska svojstva zgrada</w:t>
            </w:r>
            <w:r>
              <w:t>)</w:t>
            </w:r>
            <w:r w:rsidRPr="002D5A8D">
              <w:t xml:space="preserve"> i ispuniti standarde serije ISO 52000 koji su takođe uvedeni u Crnoj Gori i drugim zemljama na Balkanu</w:t>
            </w:r>
            <w:r w:rsidR="00CF6A89" w:rsidRPr="00CF6A89">
              <w:rPr>
                <w:lang w:val="en-GB"/>
              </w:rPr>
              <w:t>.</w:t>
            </w:r>
          </w:p>
          <w:p w:rsidR="00CF6A89" w:rsidRPr="00CF6A89" w:rsidRDefault="00CF6A89" w:rsidP="00CF6A89">
            <w:pPr>
              <w:jc w:val="both"/>
              <w:outlineLvl w:val="0"/>
              <w:rPr>
                <w:lang w:val="en-GB"/>
              </w:rPr>
            </w:pPr>
          </w:p>
          <w:p w:rsidR="00CF6A89" w:rsidRDefault="00C53147" w:rsidP="00CF6A89">
            <w:pPr>
              <w:jc w:val="both"/>
              <w:outlineLvl w:val="0"/>
              <w:rPr>
                <w:lang w:val="en-GB"/>
              </w:rPr>
            </w:pPr>
            <w:r w:rsidRPr="002D5A8D">
              <w:lastRenderedPageBreak/>
              <w:t xml:space="preserve">Klasterom I biće podržan trenutni </w:t>
            </w:r>
            <w:r>
              <w:t>način</w:t>
            </w:r>
            <w:r w:rsidRPr="002D5A8D">
              <w:t xml:space="preserve"> sprovođenja </w:t>
            </w:r>
            <w:r>
              <w:t>KUJU P</w:t>
            </w:r>
            <w:r w:rsidRPr="002D5A8D">
              <w:t xml:space="preserve">rograma kako bi se </w:t>
            </w:r>
            <w:r>
              <w:t>obezbedile</w:t>
            </w:r>
            <w:r w:rsidR="009A6054">
              <w:t xml:space="preserve"> kontinuirane aktivnosti. </w:t>
            </w:r>
            <w:r w:rsidRPr="002D5A8D">
              <w:t>Klaster I obuhvat</w:t>
            </w:r>
            <w:r w:rsidR="000D3431">
              <w:t>a</w:t>
            </w:r>
            <w:r w:rsidRPr="002D5A8D">
              <w:t xml:space="preserve"> oko</w:t>
            </w:r>
            <w:r w:rsidR="009A6054">
              <w:t xml:space="preserve"> </w:t>
            </w:r>
            <w:r w:rsidRPr="002D5A8D">
              <w:t xml:space="preserve">75% </w:t>
            </w:r>
            <w:r>
              <w:t>kapaciteta</w:t>
            </w:r>
            <w:r w:rsidRPr="002D5A8D">
              <w:t xml:space="preserve"> Projekta za investiranje (= 15 miliona </w:t>
            </w:r>
            <w:r>
              <w:t>evra</w:t>
            </w:r>
            <w:r w:rsidRPr="002D5A8D">
              <w:t xml:space="preserve"> </w:t>
            </w:r>
            <w:r>
              <w:t>iz sredstava</w:t>
            </w:r>
            <w:r w:rsidRPr="002D5A8D">
              <w:t xml:space="preserve"> </w:t>
            </w:r>
            <w:r>
              <w:t>kredita</w:t>
            </w:r>
            <w:r w:rsidR="009A6054">
              <w:t xml:space="preserve">). </w:t>
            </w:r>
            <w:r w:rsidRPr="002D5A8D">
              <w:t>Klas</w:t>
            </w:r>
            <w:r w:rsidR="009A6054">
              <w:t xml:space="preserve">ter II iznosi oko </w:t>
            </w:r>
            <w:r w:rsidRPr="002D5A8D">
              <w:t xml:space="preserve">25% </w:t>
            </w:r>
            <w:r>
              <w:t>kapaciteta</w:t>
            </w:r>
            <w:r w:rsidRPr="002D5A8D">
              <w:t xml:space="preserve"> Projekta za ulaganje (= 5 miliona </w:t>
            </w:r>
            <w:r>
              <w:t>evra</w:t>
            </w:r>
            <w:r w:rsidRPr="002D5A8D">
              <w:t xml:space="preserve"> </w:t>
            </w:r>
            <w:r>
              <w:t>iz sredstava kredita</w:t>
            </w:r>
            <w:r w:rsidRPr="002D5A8D">
              <w:t>)</w:t>
            </w:r>
            <w:r w:rsidR="00CF6A89" w:rsidRPr="00CF6A89">
              <w:rPr>
                <w:lang w:val="en-GB"/>
              </w:rPr>
              <w:t>.</w:t>
            </w:r>
          </w:p>
          <w:p w:rsidR="00CF6A89" w:rsidRPr="00CF6A89" w:rsidRDefault="00CF6A89" w:rsidP="00CF6A89">
            <w:pPr>
              <w:jc w:val="both"/>
              <w:outlineLvl w:val="0"/>
              <w:rPr>
                <w:lang w:val="en-GB"/>
              </w:rPr>
            </w:pPr>
          </w:p>
          <w:p w:rsidR="00CF6A89" w:rsidRPr="00CF6A89" w:rsidRDefault="00C53147" w:rsidP="00CF6A89">
            <w:pPr>
              <w:jc w:val="both"/>
              <w:outlineLvl w:val="0"/>
              <w:rPr>
                <w:lang w:val="en-GB"/>
              </w:rPr>
            </w:pPr>
            <w:r w:rsidRPr="002D5A8D">
              <w:t>Klaster II je jednak Klasteru I sa sledeće dve modifikacije koje se tiču merenja energetske efikasnosti</w:t>
            </w:r>
            <w:r w:rsidR="00CF6A89" w:rsidRPr="00CF6A89">
              <w:rPr>
                <w:lang w:val="en-GB"/>
              </w:rPr>
              <w:t xml:space="preserve">: </w:t>
            </w:r>
          </w:p>
          <w:p w:rsidR="00CF6A89" w:rsidRPr="00CF6A89" w:rsidRDefault="00CC48EE" w:rsidP="00CF6A89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lang w:val="en-GB"/>
              </w:rPr>
            </w:pPr>
            <w:r w:rsidRPr="002D5A8D">
              <w:t>Strukturn</w:t>
            </w:r>
            <w:r>
              <w:t>i</w:t>
            </w:r>
            <w:r w:rsidRPr="002D5A8D">
              <w:t xml:space="preserve"> i energetsk</w:t>
            </w:r>
            <w:r>
              <w:t>i</w:t>
            </w:r>
            <w:r w:rsidRPr="002D5A8D">
              <w:t xml:space="preserve"> </w:t>
            </w:r>
            <w:r>
              <w:t>pregled (SEA): SEA se sprovodi pr</w:t>
            </w:r>
            <w:r w:rsidRPr="002D5A8D">
              <w:t xml:space="preserve">e pripreme idejnog </w:t>
            </w:r>
            <w:r>
              <w:t>izvođačkog</w:t>
            </w:r>
            <w:r w:rsidRPr="002D5A8D">
              <w:t xml:space="preserve"> projekta radova koji treba</w:t>
            </w:r>
            <w:r>
              <w:t xml:space="preserve"> da se</w:t>
            </w:r>
            <w:r w:rsidRPr="002D5A8D">
              <w:t xml:space="preserve"> izve</w:t>
            </w:r>
            <w:r>
              <w:t>du</w:t>
            </w:r>
            <w:r w:rsidRPr="002D5A8D">
              <w:t xml:space="preserve"> i</w:t>
            </w:r>
            <w:r>
              <w:t xml:space="preserve"> na taj način se može smatrati „</w:t>
            </w:r>
            <w:r w:rsidRPr="002D5A8D">
              <w:t>idejnim dizajnom</w:t>
            </w:r>
            <w:r>
              <w:t>“</w:t>
            </w:r>
            <w:r w:rsidRPr="002D5A8D">
              <w:t xml:space="preserve">, koji prikazuje različite (obično tri) varijante ili </w:t>
            </w:r>
            <w:r>
              <w:t>realizaciju</w:t>
            </w:r>
            <w:r w:rsidRPr="002D5A8D">
              <w:t xml:space="preserve"> po koracima i njegove implikacije u pogledu </w:t>
            </w:r>
            <w:r>
              <w:t>obuhvata</w:t>
            </w:r>
            <w:r w:rsidRPr="002D5A8D">
              <w:t xml:space="preserve"> i </w:t>
            </w:r>
            <w:r>
              <w:t>kapaciteta</w:t>
            </w:r>
            <w:r w:rsidRPr="002D5A8D">
              <w:t xml:space="preserve"> investicija</w:t>
            </w:r>
            <w:r>
              <w:t>, perioda povraćaj</w:t>
            </w:r>
            <w:r w:rsidRPr="002D5A8D">
              <w:t>a, uštede CO2, godišnj</w:t>
            </w:r>
            <w:r>
              <w:t>ih</w:t>
            </w:r>
            <w:r w:rsidRPr="002D5A8D">
              <w:t xml:space="preserve"> </w:t>
            </w:r>
            <w:r w:rsidR="00A75D18" w:rsidRPr="002D5A8D">
              <w:t>energe</w:t>
            </w:r>
            <w:r w:rsidR="00A75D18">
              <w:t>tskih</w:t>
            </w:r>
            <w:r w:rsidR="00A75D18" w:rsidRPr="002D5A8D">
              <w:t xml:space="preserve"> </w:t>
            </w:r>
            <w:r w:rsidRPr="002D5A8D">
              <w:t xml:space="preserve">troškova </w:t>
            </w:r>
            <w:r w:rsidR="009A6054">
              <w:t xml:space="preserve">i novčane uštede. </w:t>
            </w:r>
            <w:r w:rsidRPr="002D5A8D">
              <w:t xml:space="preserve">SEA je visoko standardizovani izveštaj, zasnovan na </w:t>
            </w:r>
            <w:r>
              <w:t>pregledima</w:t>
            </w:r>
            <w:r w:rsidRPr="002D5A8D">
              <w:t xml:space="preserve"> </w:t>
            </w:r>
            <w:r w:rsidR="009A6054">
              <w:t xml:space="preserve">objekata na licu mesta. </w:t>
            </w:r>
            <w:r w:rsidRPr="002D5A8D">
              <w:t xml:space="preserve">Proračuni energije </w:t>
            </w:r>
            <w:r>
              <w:t>vrše se</w:t>
            </w:r>
            <w:r w:rsidRPr="002D5A8D">
              <w:t xml:space="preserve"> na osnovu standarda DIN V 18599, koje je razvio Fraunhofer institut, </w:t>
            </w:r>
            <w:r w:rsidR="00A75D18">
              <w:t xml:space="preserve">i koji su </w:t>
            </w:r>
            <w:r w:rsidRPr="002D5A8D">
              <w:t>u skladu sa zahtevima EU i prilagođeni</w:t>
            </w:r>
            <w:r w:rsidR="009A6054">
              <w:t xml:space="preserve"> klimatskim uslovima u Srbiji. </w:t>
            </w:r>
            <w:r>
              <w:t>Uz to će se koristiti korisnički</w:t>
            </w:r>
            <w:r w:rsidRPr="002D5A8D">
              <w:t xml:space="preserve"> profili </w:t>
            </w:r>
            <w:r>
              <w:t>iz DIN V 18599-10</w:t>
            </w:r>
            <w:r w:rsidR="009A6054">
              <w:t xml:space="preserve">. </w:t>
            </w:r>
            <w:r w:rsidRPr="002D5A8D">
              <w:t xml:space="preserve">Ove energetske preglede izvodiće nezavisni </w:t>
            </w:r>
            <w:r>
              <w:t>konsultant, treće lice</w:t>
            </w:r>
            <w:r w:rsidR="00CF6A89" w:rsidRPr="00CF6A89">
              <w:rPr>
                <w:lang w:val="en-GB"/>
              </w:rPr>
              <w:t>.</w:t>
            </w:r>
          </w:p>
          <w:p w:rsidR="00CF6A89" w:rsidRPr="00CF6A89" w:rsidRDefault="00CF6A89" w:rsidP="00CF6A89">
            <w:pPr>
              <w:jc w:val="both"/>
              <w:outlineLvl w:val="0"/>
              <w:rPr>
                <w:lang w:val="en-GB"/>
              </w:rPr>
            </w:pPr>
          </w:p>
          <w:p w:rsidR="00CF6A89" w:rsidRDefault="00CC48EE" w:rsidP="00CF6A89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lang w:val="en-GB"/>
              </w:rPr>
            </w:pPr>
            <w:r>
              <w:t>E</w:t>
            </w:r>
            <w:r w:rsidRPr="002D5A8D">
              <w:t>nergetsk</w:t>
            </w:r>
            <w:r>
              <w:t>i</w:t>
            </w:r>
            <w:r w:rsidRPr="002D5A8D">
              <w:t xml:space="preserve"> pregled</w:t>
            </w:r>
            <w:r>
              <w:t>i</w:t>
            </w:r>
            <w:r w:rsidRPr="002D5A8D">
              <w:t xml:space="preserve"> nakon izgradnje </w:t>
            </w:r>
            <w:r w:rsidR="00CF6A89" w:rsidRPr="00CF6A89">
              <w:rPr>
                <w:lang w:val="en-GB"/>
              </w:rPr>
              <w:t xml:space="preserve">(PCEA): PCEA </w:t>
            </w:r>
            <w:r w:rsidR="009A6054">
              <w:t>su sa</w:t>
            </w:r>
            <w:r w:rsidR="009A6054" w:rsidRPr="002D5A8D">
              <w:t xml:space="preserve"> jedne strane ažuriranje SEA u koj</w:t>
            </w:r>
            <w:r w:rsidR="009A6054">
              <w:t>ima</w:t>
            </w:r>
            <w:r w:rsidR="009A6054" w:rsidRPr="002D5A8D">
              <w:t xml:space="preserve"> se odražavaju konačne mere EE nakon izgradnje, a sa druge </w:t>
            </w:r>
            <w:r w:rsidR="009A6054">
              <w:t xml:space="preserve">strane će se proveriti da li se </w:t>
            </w:r>
            <w:r w:rsidR="009A6054" w:rsidRPr="002D5A8D">
              <w:t>potrebe</w:t>
            </w:r>
            <w:r w:rsidR="009A6054">
              <w:t xml:space="preserve"> </w:t>
            </w:r>
            <w:r w:rsidR="009A6054" w:rsidRPr="002D5A8D">
              <w:t>za</w:t>
            </w:r>
            <w:r w:rsidR="009A6054">
              <w:t xml:space="preserve"> </w:t>
            </w:r>
            <w:r w:rsidR="009A6054" w:rsidRPr="002D5A8D">
              <w:t>energijom zasnovane</w:t>
            </w:r>
            <w:r w:rsidR="009A6054">
              <w:t xml:space="preserve"> </w:t>
            </w:r>
            <w:r w:rsidR="009A6054" w:rsidRPr="002D5A8D">
              <w:t>na</w:t>
            </w:r>
            <w:r w:rsidR="009A6054">
              <w:t xml:space="preserve"> </w:t>
            </w:r>
            <w:r w:rsidR="009A6054" w:rsidRPr="002D5A8D">
              <w:t>potražnji</w:t>
            </w:r>
            <w:r w:rsidR="009A6054">
              <w:t xml:space="preserve"> </w:t>
            </w:r>
            <w:r w:rsidR="009A6054" w:rsidRPr="002D5A8D">
              <w:t>nakon izgradnje podudaraju sa</w:t>
            </w:r>
            <w:r w:rsidR="009A6054">
              <w:t xml:space="preserve"> </w:t>
            </w:r>
            <w:r w:rsidR="009A6054" w:rsidRPr="002D5A8D">
              <w:t>podaci</w:t>
            </w:r>
            <w:r w:rsidR="009A6054">
              <w:t xml:space="preserve">ma </w:t>
            </w:r>
            <w:r w:rsidR="009A6054" w:rsidRPr="002D5A8D">
              <w:t>zasnovani</w:t>
            </w:r>
            <w:r w:rsidR="009A6054">
              <w:t>m</w:t>
            </w:r>
            <w:r w:rsidR="009A6054" w:rsidRPr="002D5A8D">
              <w:t xml:space="preserve"> na potrošnji</w:t>
            </w:r>
            <w:r w:rsidR="009A6054">
              <w:t xml:space="preserve"> </w:t>
            </w:r>
            <w:r w:rsidR="009A6054" w:rsidRPr="002D5A8D">
              <w:t>nakon primene mera.</w:t>
            </w:r>
            <w:r w:rsidR="009A6054">
              <w:t xml:space="preserve"> </w:t>
            </w:r>
            <w:r w:rsidR="009A6054" w:rsidRPr="002D5A8D">
              <w:t>Mereći</w:t>
            </w:r>
            <w:r w:rsidR="009A6054">
              <w:t xml:space="preserve"> </w:t>
            </w:r>
            <w:r w:rsidR="009A6054" w:rsidRPr="002D5A8D">
              <w:t>stvarnu potrošnju energije</w:t>
            </w:r>
            <w:r w:rsidR="009A6054">
              <w:t xml:space="preserve"> </w:t>
            </w:r>
            <w:r w:rsidR="009A6054" w:rsidRPr="002D5A8D">
              <w:t>zgrade,</w:t>
            </w:r>
            <w:r w:rsidR="009A6054">
              <w:t xml:space="preserve"> </w:t>
            </w:r>
            <w:r w:rsidR="009A6054" w:rsidRPr="002D5A8D">
              <w:t xml:space="preserve">PCEA će proveriti da li </w:t>
            </w:r>
            <w:r w:rsidR="009A6054">
              <w:t>pripisani</w:t>
            </w:r>
            <w:r w:rsidR="009A6054" w:rsidRPr="002D5A8D">
              <w:t xml:space="preserve"> dobici na efikasnosti i uštede gasova </w:t>
            </w:r>
            <w:r w:rsidR="009A6054">
              <w:t xml:space="preserve">staklene bašte </w:t>
            </w:r>
            <w:r w:rsidR="009A6054" w:rsidRPr="002D5A8D">
              <w:t>izračunati u SEA takođe odgovaraju stvarnoj potrošnji energije.</w:t>
            </w:r>
            <w:r w:rsidR="009A6054">
              <w:t xml:space="preserve"> </w:t>
            </w:r>
            <w:r w:rsidR="009A6054" w:rsidRPr="002D5A8D">
              <w:t>PCEA će se izvršiti za svaku zgradu klastera II, najranije godinu dana nakon puštanja u rad, kada s</w:t>
            </w:r>
            <w:r w:rsidR="009A6054">
              <w:t>e</w:t>
            </w:r>
            <w:r w:rsidR="009A6054" w:rsidRPr="002D5A8D">
              <w:t xml:space="preserve"> završe sva sezonska klimatska kolebanja</w:t>
            </w:r>
            <w:r w:rsidR="00CF6A89" w:rsidRPr="00CF6A89">
              <w:rPr>
                <w:lang w:val="en-GB"/>
              </w:rPr>
              <w:t xml:space="preserve">. </w:t>
            </w:r>
          </w:p>
          <w:p w:rsidR="00CA739D" w:rsidRPr="00FF67A8" w:rsidRDefault="00CA739D" w:rsidP="00CF6A89">
            <w:pPr>
              <w:jc w:val="both"/>
              <w:outlineLvl w:val="0"/>
              <w:rPr>
                <w:highlight w:val="yellow"/>
                <w:lang w:val="en-GB"/>
              </w:rPr>
            </w:pPr>
          </w:p>
        </w:tc>
      </w:tr>
      <w:tr w:rsidR="007422AF" w:rsidRPr="009D4272" w:rsidTr="00C435B9">
        <w:tc>
          <w:tcPr>
            <w:tcW w:w="2329" w:type="dxa"/>
          </w:tcPr>
          <w:p w:rsidR="007422AF" w:rsidRPr="007422AF" w:rsidRDefault="00F0493C" w:rsidP="00F0493C">
            <w:pPr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Potrebne k</w:t>
            </w:r>
            <w:r w:rsidR="007422AF">
              <w:rPr>
                <w:b/>
                <w:lang w:val="en-GB"/>
              </w:rPr>
              <w:t>onsult</w:t>
            </w:r>
            <w:r>
              <w:rPr>
                <w:b/>
                <w:lang w:val="en-GB"/>
              </w:rPr>
              <w:t>antske usluge</w:t>
            </w:r>
            <w:r w:rsidR="007422AF">
              <w:rPr>
                <w:b/>
                <w:lang w:val="en-GB"/>
              </w:rPr>
              <w:t xml:space="preserve">: </w:t>
            </w:r>
          </w:p>
        </w:tc>
        <w:tc>
          <w:tcPr>
            <w:tcW w:w="7193" w:type="dxa"/>
          </w:tcPr>
          <w:p w:rsidR="00440F32" w:rsidRDefault="006757A3" w:rsidP="00440F32">
            <w:pPr>
              <w:jc w:val="both"/>
              <w:outlineLvl w:val="0"/>
              <w:rPr>
                <w:lang w:val="en-GB"/>
              </w:rPr>
            </w:pPr>
            <w:r>
              <w:t>K</w:t>
            </w:r>
            <w:r w:rsidRPr="002D5A8D">
              <w:t>onsultant</w:t>
            </w:r>
            <w:r>
              <w:t xml:space="preserve"> za n</w:t>
            </w:r>
            <w:r w:rsidRPr="002D5A8D">
              <w:t>adzor i praćenje (</w:t>
            </w:r>
            <w:r>
              <w:t>“</w:t>
            </w:r>
            <w:r w:rsidRPr="002D5A8D">
              <w:t>SMC</w:t>
            </w:r>
            <w:r>
              <w:t>”</w:t>
            </w:r>
            <w:r w:rsidRPr="002D5A8D">
              <w:t xml:space="preserve">) će obezbediti pomoć </w:t>
            </w:r>
            <w:r w:rsidR="00A75D18">
              <w:t xml:space="preserve">u vezi sa </w:t>
            </w:r>
            <w:r w:rsidR="00A75D18" w:rsidRPr="002D5A8D">
              <w:t>pitanj</w:t>
            </w:r>
            <w:r w:rsidR="00A75D18">
              <w:t>im</w:t>
            </w:r>
            <w:r w:rsidR="00A75D18" w:rsidRPr="002D5A8D">
              <w:t xml:space="preserve">a </w:t>
            </w:r>
            <w:r w:rsidR="00A75D18">
              <w:t>unapređenja</w:t>
            </w:r>
            <w:r w:rsidRPr="002D5A8D">
              <w:t xml:space="preserve"> i </w:t>
            </w:r>
            <w:r>
              <w:t>obezbeđivanj</w:t>
            </w:r>
            <w:r w:rsidR="00A75D18">
              <w:t>a</w:t>
            </w:r>
            <w:r>
              <w:t xml:space="preserve"> kvaliteta</w:t>
            </w:r>
            <w:r w:rsidRPr="002D5A8D">
              <w:t xml:space="preserve">, </w:t>
            </w:r>
            <w:r>
              <w:t>savete u pogledu energetske</w:t>
            </w:r>
            <w:r w:rsidRPr="002D5A8D">
              <w:t xml:space="preserve"> efikasnost</w:t>
            </w:r>
            <w:r>
              <w:t>i</w:t>
            </w:r>
            <w:r w:rsidRPr="002D5A8D">
              <w:t xml:space="preserve">, praćenje projekta, pomoć u </w:t>
            </w:r>
            <w:r>
              <w:t>zaduženjima vezanim za isplate</w:t>
            </w:r>
            <w:r w:rsidRPr="002D5A8D">
              <w:t xml:space="preserve">, </w:t>
            </w:r>
            <w:r>
              <w:t>potraživanja</w:t>
            </w:r>
            <w:r w:rsidRPr="002D5A8D">
              <w:t xml:space="preserve"> i </w:t>
            </w:r>
            <w:r>
              <w:t>administraciju</w:t>
            </w:r>
            <w:r w:rsidRPr="002D5A8D">
              <w:t>, izveštavanje (</w:t>
            </w:r>
            <w:r>
              <w:t xml:space="preserve">prema </w:t>
            </w:r>
            <w:r w:rsidRPr="002D5A8D">
              <w:t>Kf</w:t>
            </w:r>
            <w:r>
              <w:t>W</w:t>
            </w:r>
            <w:r w:rsidRPr="002D5A8D">
              <w:t>) o napretku projekta, nadzor nad izgradnjom na selektivnoj osnovi, sprovođenje obuka i/ili kampanja podizanja svesti za upravnike objekata i korisnike zgrada i za izvođenje energetskih pre</w:t>
            </w:r>
            <w:r>
              <w:t xml:space="preserve">gleda nakon izgradnje (PCA) za Klaster II. </w:t>
            </w:r>
            <w:r w:rsidRPr="002D5A8D">
              <w:t>SMC neće pružati usluge kao vlasni</w:t>
            </w:r>
            <w:r>
              <w:t>čki inženjer</w:t>
            </w:r>
            <w:r w:rsidRPr="002D5A8D">
              <w:t xml:space="preserve"> prema FIDIC </w:t>
            </w:r>
            <w:r>
              <w:t>Roze</w:t>
            </w:r>
            <w:r w:rsidRPr="002D5A8D">
              <w:t xml:space="preserve"> knji</w:t>
            </w:r>
            <w:r>
              <w:t>zi</w:t>
            </w:r>
            <w:r w:rsidRPr="002D5A8D">
              <w:t xml:space="preserve"> i ne treba da priprem</w:t>
            </w:r>
            <w:r>
              <w:t>a</w:t>
            </w:r>
            <w:r w:rsidRPr="002D5A8D">
              <w:t xml:space="preserve"> </w:t>
            </w:r>
            <w:r>
              <w:t>izvođački</w:t>
            </w:r>
            <w:r w:rsidRPr="002D5A8D">
              <w:t xml:space="preserve"> projek</w:t>
            </w:r>
            <w:r>
              <w:t>at</w:t>
            </w:r>
            <w:r w:rsidRPr="002D5A8D">
              <w:t xml:space="preserve"> niti </w:t>
            </w:r>
            <w:r>
              <w:t>da</w:t>
            </w:r>
            <w:r w:rsidRPr="002D5A8D">
              <w:t xml:space="preserve"> </w:t>
            </w:r>
            <w:r>
              <w:t>izvodi</w:t>
            </w:r>
            <w:r w:rsidRPr="002D5A8D">
              <w:t xml:space="preserve"> staln</w:t>
            </w:r>
            <w:r>
              <w:t>i nadzor lokacije</w:t>
            </w:r>
            <w:r w:rsidR="00440F32" w:rsidRPr="00440F32">
              <w:rPr>
                <w:lang w:val="en-GB"/>
              </w:rPr>
              <w:t>.</w:t>
            </w:r>
          </w:p>
          <w:p w:rsidR="00440F32" w:rsidRPr="00440F32" w:rsidRDefault="00440F32" w:rsidP="00440F32">
            <w:pPr>
              <w:jc w:val="both"/>
              <w:outlineLvl w:val="0"/>
              <w:rPr>
                <w:lang w:val="en-GB"/>
              </w:rPr>
            </w:pPr>
          </w:p>
          <w:p w:rsidR="00440F32" w:rsidRPr="00440F32" w:rsidRDefault="006757A3" w:rsidP="00440F32">
            <w:pPr>
              <w:jc w:val="both"/>
              <w:outlineLvl w:val="0"/>
              <w:rPr>
                <w:lang w:val="en-GB"/>
              </w:rPr>
            </w:pPr>
            <w:r>
              <w:rPr>
                <w:lang w:val="en-GB"/>
              </w:rPr>
              <w:t>Konkretno</w:t>
            </w:r>
            <w:r w:rsidR="00440F32" w:rsidRPr="00440F32">
              <w:rPr>
                <w:lang w:val="en-GB"/>
              </w:rPr>
              <w:t xml:space="preserve">, </w:t>
            </w:r>
            <w:r>
              <w:t>K</w:t>
            </w:r>
            <w:r w:rsidRPr="002D5A8D">
              <w:t>onsultant</w:t>
            </w:r>
            <w:r w:rsidRPr="00440F32">
              <w:rPr>
                <w:lang w:val="en-GB"/>
              </w:rPr>
              <w:t>(</w:t>
            </w:r>
            <w:r>
              <w:rPr>
                <w:lang w:val="en-GB"/>
              </w:rPr>
              <w:t>i</w:t>
            </w:r>
            <w:r w:rsidRPr="00440F32">
              <w:rPr>
                <w:lang w:val="en-GB"/>
              </w:rPr>
              <w:t>)</w:t>
            </w:r>
            <w:r>
              <w:t xml:space="preserve"> za n</w:t>
            </w:r>
            <w:r w:rsidRPr="002D5A8D">
              <w:t xml:space="preserve">adzor i praćenje </w:t>
            </w:r>
            <w:r>
              <w:rPr>
                <w:lang w:val="en-GB"/>
              </w:rPr>
              <w:t>će</w:t>
            </w:r>
            <w:r w:rsidR="00440F32" w:rsidRPr="00440F32">
              <w:rPr>
                <w:lang w:val="en-GB"/>
              </w:rPr>
              <w:t xml:space="preserve">: </w:t>
            </w:r>
          </w:p>
          <w:p w:rsidR="00440F32" w:rsidRPr="00440F32" w:rsidRDefault="006757A3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 w:rsidRPr="002D5A8D">
              <w:t xml:space="preserve">Pratiti celokupne </w:t>
            </w:r>
            <w:r>
              <w:t>postupk</w:t>
            </w:r>
            <w:r w:rsidRPr="002D5A8D">
              <w:t xml:space="preserve">e nabavke i </w:t>
            </w:r>
            <w:r>
              <w:t>sprovođenja</w:t>
            </w:r>
            <w:r w:rsidRPr="002D5A8D">
              <w:t xml:space="preserve"> radov</w:t>
            </w:r>
            <w:r>
              <w:t>a</w:t>
            </w:r>
            <w:r w:rsidRPr="002D5A8D">
              <w:t xml:space="preserve"> i uslug</w:t>
            </w:r>
            <w:r>
              <w:t>a</w:t>
            </w:r>
            <w:r w:rsidRPr="002D5A8D">
              <w:t xml:space="preserve"> od strane opština i </w:t>
            </w:r>
            <w:r>
              <w:t>KUJU</w:t>
            </w:r>
            <w:r w:rsidRPr="002D5A8D">
              <w:t xml:space="preserve"> na opštem nivou (uključujući redovne posete lokaciji/</w:t>
            </w:r>
            <w:r>
              <w:t>nasumične</w:t>
            </w:r>
            <w:r w:rsidRPr="002D5A8D">
              <w:t xml:space="preserve"> provere na licu mesta) k</w:t>
            </w:r>
            <w:r>
              <w:t>oji će se finansirati u okviru P</w:t>
            </w:r>
            <w:r w:rsidRPr="002D5A8D">
              <w:t xml:space="preserve">rojekta, kreirati i kontinuirano </w:t>
            </w:r>
            <w:r>
              <w:t>puniti</w:t>
            </w:r>
            <w:r w:rsidRPr="002D5A8D">
              <w:t xml:space="preserve"> bazu podataka informacijama vezani</w:t>
            </w:r>
            <w:r>
              <w:t xml:space="preserve">m za projekat kako bi se proveravao uticaj Projekta, </w:t>
            </w:r>
            <w:r w:rsidRPr="002D5A8D">
              <w:t>vrši</w:t>
            </w:r>
            <w:r>
              <w:t>ti</w:t>
            </w:r>
            <w:r w:rsidRPr="002D5A8D">
              <w:t xml:space="preserve"> selektivne i ad hoc</w:t>
            </w:r>
            <w:r>
              <w:t xml:space="preserve"> </w:t>
            </w:r>
            <w:r w:rsidRPr="002D5A8D">
              <w:t>posete gradilištu</w:t>
            </w:r>
            <w:r w:rsidR="00440F32" w:rsidRPr="00440F32">
              <w:rPr>
                <w:lang w:val="en-GB"/>
              </w:rPr>
              <w:t xml:space="preserve">. </w:t>
            </w:r>
          </w:p>
          <w:p w:rsidR="00440F32" w:rsidRPr="00440F32" w:rsidRDefault="006757A3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 w:rsidRPr="002D5A8D">
              <w:t>Izvešta</w:t>
            </w:r>
            <w:r>
              <w:t>vati</w:t>
            </w:r>
            <w:r w:rsidRPr="002D5A8D">
              <w:t xml:space="preserve"> </w:t>
            </w:r>
            <w:r>
              <w:t>KUJU/</w:t>
            </w:r>
            <w:r w:rsidRPr="002D5A8D">
              <w:t>Kf</w:t>
            </w:r>
            <w:r>
              <w:t>W</w:t>
            </w:r>
            <w:r w:rsidRPr="002D5A8D">
              <w:t xml:space="preserve"> o napretku </w:t>
            </w:r>
            <w:r>
              <w:t>sprovođenja P</w:t>
            </w:r>
            <w:r w:rsidRPr="002D5A8D">
              <w:t xml:space="preserve">rojekta: </w:t>
            </w:r>
            <w:r w:rsidR="00275C77">
              <w:t>kvartalni</w:t>
            </w:r>
            <w:r w:rsidRPr="002D5A8D">
              <w:t xml:space="preserve"> izveštaj </w:t>
            </w:r>
            <w:r>
              <w:t>KUJU</w:t>
            </w:r>
            <w:r w:rsidRPr="002D5A8D">
              <w:t>/Kf</w:t>
            </w:r>
            <w:r>
              <w:t>W</w:t>
            </w:r>
            <w:r w:rsidRPr="002D5A8D">
              <w:t xml:space="preserve"> o napretku </w:t>
            </w:r>
            <w:r>
              <w:t>sprovođenja</w:t>
            </w:r>
            <w:r w:rsidRPr="002D5A8D">
              <w:t xml:space="preserve">, uključujući finansijske </w:t>
            </w:r>
            <w:r>
              <w:t>prikaze</w:t>
            </w:r>
            <w:r w:rsidRPr="002D5A8D">
              <w:t xml:space="preserve"> korišćenj</w:t>
            </w:r>
            <w:r>
              <w:t>a</w:t>
            </w:r>
            <w:r w:rsidRPr="002D5A8D">
              <w:t xml:space="preserve"> sredstava</w:t>
            </w:r>
            <w:r w:rsidR="00440F32" w:rsidRPr="00440F32">
              <w:rPr>
                <w:lang w:val="en-GB"/>
              </w:rPr>
              <w:t>.</w:t>
            </w:r>
          </w:p>
          <w:p w:rsidR="00440F32" w:rsidRPr="00440F32" w:rsidRDefault="006757A3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>
              <w:t>Vršiti E</w:t>
            </w:r>
            <w:r w:rsidRPr="002D5A8D">
              <w:t xml:space="preserve">nergetske </w:t>
            </w:r>
            <w:r>
              <w:t>preglede</w:t>
            </w:r>
            <w:r w:rsidRPr="002D5A8D">
              <w:t xml:space="preserve"> n</w:t>
            </w:r>
            <w:r>
              <w:t xml:space="preserve">akon izgradnje za svaku zgradu </w:t>
            </w:r>
            <w:r>
              <w:lastRenderedPageBreak/>
              <w:t>K</w:t>
            </w:r>
            <w:r w:rsidRPr="002D5A8D">
              <w:t>lastera II kako bi verifikovali ef</w:t>
            </w:r>
            <w:r>
              <w:t>e</w:t>
            </w:r>
            <w:r w:rsidRPr="002D5A8D">
              <w:t>k</w:t>
            </w:r>
            <w:r>
              <w:t>tiv</w:t>
            </w:r>
            <w:r w:rsidRPr="002D5A8D">
              <w:t>nost mera efikasnosti i smanjenje emisije CO2 gasova</w:t>
            </w:r>
            <w:r w:rsidR="00440F32" w:rsidRPr="00440F32">
              <w:rPr>
                <w:lang w:val="en-GB"/>
              </w:rPr>
              <w:t xml:space="preserve">. </w:t>
            </w:r>
          </w:p>
          <w:p w:rsidR="00440F32" w:rsidRPr="00440F32" w:rsidRDefault="000C4C85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>
              <w:t>Obaviti</w:t>
            </w:r>
            <w:r w:rsidR="004D684B" w:rsidRPr="002D5A8D">
              <w:t xml:space="preserve"> reprezentativnu studiju u početnoj fazi projekta i nakon finalizacije projektnih ak</w:t>
            </w:r>
            <w:r w:rsidR="004D684B">
              <w:t>tivnosti (pre-posle upoređivanje</w:t>
            </w:r>
            <w:r w:rsidR="004D684B" w:rsidRPr="002D5A8D">
              <w:t>), kako bi se procenili opštinski kapaciteti u pripremi i sprovođenju projekata javne infrastrukture</w:t>
            </w:r>
            <w:r w:rsidR="00440F32" w:rsidRPr="00440F32">
              <w:rPr>
                <w:lang w:val="en-GB"/>
              </w:rPr>
              <w:t xml:space="preserve">. </w:t>
            </w:r>
          </w:p>
          <w:p w:rsidR="00440F32" w:rsidRPr="00440F32" w:rsidRDefault="000C4C85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 w:rsidRPr="002D5A8D">
              <w:t>Sprovesti obuke i/ili kampanje podizanja svesti za upravnike objekata i korisnike zgrada kako bi se obezbedilo prilagođavanje</w:t>
            </w:r>
            <w:r>
              <w:t xml:space="preserve"> ponašanja </w:t>
            </w:r>
            <w:r w:rsidRPr="002D5A8D">
              <w:t>korisnika</w:t>
            </w:r>
            <w:r>
              <w:t xml:space="preserve"> </w:t>
            </w:r>
            <w:r w:rsidRPr="002D5A8D">
              <w:t>u naknadno opremljenim zgradama</w:t>
            </w:r>
            <w:r w:rsidR="00440F32" w:rsidRPr="00440F32">
              <w:rPr>
                <w:lang w:val="en-GB"/>
              </w:rPr>
              <w:t>.</w:t>
            </w:r>
          </w:p>
          <w:p w:rsidR="00440F32" w:rsidRPr="00440F32" w:rsidRDefault="000C4C85" w:rsidP="00440F32">
            <w:pPr>
              <w:pStyle w:val="ListParagraph"/>
              <w:numPr>
                <w:ilvl w:val="0"/>
                <w:numId w:val="31"/>
              </w:numPr>
              <w:jc w:val="both"/>
              <w:outlineLvl w:val="0"/>
              <w:rPr>
                <w:lang w:val="en-GB"/>
              </w:rPr>
            </w:pPr>
            <w:r>
              <w:t>Gde je potrebno, SM</w:t>
            </w:r>
            <w:r w:rsidRPr="002D5A8D">
              <w:t xml:space="preserve">C pomaže </w:t>
            </w:r>
            <w:r>
              <w:t>KUJU</w:t>
            </w:r>
            <w:r w:rsidRPr="002D5A8D">
              <w:t xml:space="preserve"> u pitanjim</w:t>
            </w:r>
            <w:r w:rsidR="00275C77">
              <w:t xml:space="preserve">a vezanim za isplatu </w:t>
            </w:r>
            <w:r>
              <w:t>sa p</w:t>
            </w:r>
            <w:r w:rsidRPr="002D5A8D">
              <w:t>osebn</w:t>
            </w:r>
            <w:r w:rsidR="00275C77">
              <w:t>og namenskog</w:t>
            </w:r>
            <w:r w:rsidRPr="002D5A8D">
              <w:t xml:space="preserve"> račun</w:t>
            </w:r>
            <w:r w:rsidR="00275C77">
              <w:t>a</w:t>
            </w:r>
            <w:r w:rsidRPr="002D5A8D">
              <w:t xml:space="preserve"> i celokupn</w:t>
            </w:r>
            <w:r w:rsidR="00275C77">
              <w:t>u</w:t>
            </w:r>
            <w:r w:rsidRPr="002D5A8D">
              <w:t xml:space="preserve"> administracij</w:t>
            </w:r>
            <w:r w:rsidR="00275C77">
              <w:t>u</w:t>
            </w:r>
            <w:r w:rsidRPr="002D5A8D">
              <w:t xml:space="preserve"> </w:t>
            </w:r>
            <w:r>
              <w:t>P</w:t>
            </w:r>
            <w:r w:rsidRPr="002D5A8D">
              <w:t>rojekta</w:t>
            </w:r>
            <w:r w:rsidR="00440F32" w:rsidRPr="00440F32">
              <w:rPr>
                <w:lang w:val="en-GB"/>
              </w:rPr>
              <w:t>.</w:t>
            </w:r>
          </w:p>
          <w:p w:rsidR="00BB4D52" w:rsidRPr="007422AF" w:rsidRDefault="00BB4D52" w:rsidP="007422AF">
            <w:pPr>
              <w:outlineLvl w:val="0"/>
              <w:rPr>
                <w:lang w:val="en-GB"/>
              </w:rPr>
            </w:pPr>
          </w:p>
          <w:p w:rsidR="007422AF" w:rsidRDefault="000C4C85" w:rsidP="000176C7">
            <w:pPr>
              <w:jc w:val="both"/>
              <w:outlineLvl w:val="0"/>
              <w:rPr>
                <w:lang w:val="en-GB"/>
              </w:rPr>
            </w:pPr>
            <w:r>
              <w:t>Dodela</w:t>
            </w:r>
            <w:r w:rsidRPr="002D5A8D">
              <w:t xml:space="preserve"> </w:t>
            </w:r>
            <w:r>
              <w:t>K</w:t>
            </w:r>
            <w:r w:rsidRPr="002D5A8D">
              <w:t>onsultantsk</w:t>
            </w:r>
            <w:r>
              <w:t>ih</w:t>
            </w:r>
            <w:r w:rsidRPr="002D5A8D">
              <w:t xml:space="preserve"> uslug</w:t>
            </w:r>
            <w:r>
              <w:t>a</w:t>
            </w:r>
            <w:r w:rsidRPr="002D5A8D">
              <w:t xml:space="preserve"> planirana je za četvrti kvartal 2020.</w:t>
            </w:r>
            <w:r>
              <w:t xml:space="preserve"> godine. </w:t>
            </w:r>
            <w:r w:rsidRPr="002D5A8D">
              <w:t xml:space="preserve">Očekuje se da će </w:t>
            </w:r>
            <w:r>
              <w:t>potpuno sprovođenje projekta biti završeno</w:t>
            </w:r>
            <w:r w:rsidRPr="002D5A8D">
              <w:t xml:space="preserve"> u roku od 39 meseci</w:t>
            </w:r>
            <w:r w:rsidR="00275C77">
              <w:t>,</w:t>
            </w:r>
            <w:r w:rsidRPr="002D5A8D">
              <w:t xml:space="preserve"> plus 12 meseci perioda prijavlj</w:t>
            </w:r>
            <w:r>
              <w:t>ivanja nedostataka i izvršenja E</w:t>
            </w:r>
            <w:r w:rsidRPr="002D5A8D">
              <w:t>nergetskih pregleda nakon izgradnje</w:t>
            </w:r>
            <w:r w:rsidR="00440F32" w:rsidRPr="00440F32">
              <w:rPr>
                <w:lang w:val="en-GB"/>
              </w:rPr>
              <w:t>.</w:t>
            </w:r>
          </w:p>
          <w:p w:rsidR="007422AF" w:rsidRDefault="007422AF" w:rsidP="000176C7">
            <w:pPr>
              <w:jc w:val="both"/>
              <w:outlineLvl w:val="0"/>
              <w:rPr>
                <w:lang w:val="en-GB"/>
              </w:rPr>
            </w:pPr>
          </w:p>
          <w:p w:rsidR="007422AF" w:rsidRPr="00A60B8A" w:rsidRDefault="000C4C85" w:rsidP="007A5BB3">
            <w:pPr>
              <w:jc w:val="both"/>
              <w:outlineLvl w:val="0"/>
            </w:pPr>
            <w:r w:rsidRPr="002D5A8D">
              <w:t xml:space="preserve">Pretkvalifikacija za konsultantske usluge biće vođena najnovijom verzijom </w:t>
            </w:r>
            <w:r>
              <w:t>“</w:t>
            </w:r>
            <w:r w:rsidRPr="002D5A8D">
              <w:t xml:space="preserve">Smernica za nabavku konsultantskih usluga, radova, postrojenja, </w:t>
            </w:r>
            <w:r>
              <w:t>dobara</w:t>
            </w:r>
            <w:r w:rsidRPr="002D5A8D">
              <w:t xml:space="preserve"> i nekon</w:t>
            </w:r>
            <w:r>
              <w:t>s</w:t>
            </w:r>
            <w:r w:rsidRPr="002D5A8D">
              <w:t xml:space="preserve">ultantskih usluga u </w:t>
            </w:r>
            <w:r>
              <w:t xml:space="preserve">okviru </w:t>
            </w:r>
            <w:r w:rsidRPr="002D5A8D">
              <w:t>finansijsk</w:t>
            </w:r>
            <w:r>
              <w:t>e saradnje</w:t>
            </w:r>
            <w:r w:rsidRPr="002D5A8D">
              <w:t xml:space="preserve"> sa partner</w:t>
            </w:r>
            <w:r>
              <w:t>sk</w:t>
            </w:r>
            <w:r w:rsidRPr="002D5A8D">
              <w:t>im zemljama</w:t>
            </w:r>
            <w:r>
              <w:t>”</w:t>
            </w:r>
            <w:r w:rsidR="007422AF" w:rsidRPr="007422AF">
              <w:rPr>
                <w:lang w:val="en-GB"/>
              </w:rPr>
              <w:t>.</w:t>
            </w:r>
            <w:r w:rsidR="00275C77">
              <w:rPr>
                <w:lang w:val="en-GB"/>
              </w:rPr>
              <w:t xml:space="preserve"> </w:t>
            </w:r>
            <w:hyperlink r:id="rId8" w:history="1">
              <w:r w:rsidR="007A5BB3" w:rsidRPr="00A60B8A">
                <w:rPr>
                  <w:rStyle w:val="Hyperlink"/>
                  <w:szCs w:val="22"/>
                </w:rPr>
                <w:t>https://www.kfw-entwicklungsbank.de/PDF/Download-Center/PDF-Dokumente-Richtlinien/Vergaberichtlinien-2019-Englisch-Internet_2.pdf</w:t>
              </w:r>
            </w:hyperlink>
          </w:p>
          <w:p w:rsidR="007422AF" w:rsidRPr="00A60B8A" w:rsidRDefault="007422AF" w:rsidP="007422AF">
            <w:pPr>
              <w:outlineLvl w:val="0"/>
              <w:rPr>
                <w:szCs w:val="22"/>
              </w:rPr>
            </w:pPr>
          </w:p>
          <w:p w:rsidR="007422AF" w:rsidRDefault="00075495" w:rsidP="00E70444">
            <w:pPr>
              <w:jc w:val="both"/>
              <w:outlineLvl w:val="0"/>
              <w:rPr>
                <w:lang w:val="en-GB"/>
              </w:rPr>
            </w:pPr>
            <w:r w:rsidRPr="002D5A8D">
              <w:t>Predv</w:t>
            </w:r>
            <w:r>
              <w:t>iđeno je dodeljivanje usluga neza</w:t>
            </w:r>
            <w:r w:rsidRPr="002D5A8D">
              <w:t>visnoj konsultantskoj firmi sa dokazanim iskustvom u realizaciji sličnih projekata sa sličnim zadacima.</w:t>
            </w:r>
            <w:r>
              <w:t xml:space="preserve"> Prednost imaju k</w:t>
            </w:r>
            <w:r w:rsidRPr="002D5A8D">
              <w:t>onsultantske firme sa regiona</w:t>
            </w:r>
            <w:r>
              <w:t xml:space="preserve">lnim iskustvom u </w:t>
            </w:r>
            <w:r w:rsidRPr="002D5A8D">
              <w:t>Srbiji, Crnoj Gori, Albaniji, Kosovu, Hrvatskoj, Bosni i Hercegovini, Severn</w:t>
            </w:r>
            <w:r>
              <w:t>oj</w:t>
            </w:r>
            <w:r w:rsidRPr="002D5A8D">
              <w:t xml:space="preserve"> Makedonij</w:t>
            </w:r>
            <w:r>
              <w:t>i</w:t>
            </w:r>
            <w:r w:rsidRPr="002D5A8D">
              <w:t>,</w:t>
            </w:r>
            <w:r>
              <w:t xml:space="preserve"> Sloveniji, Ukrajini, Gruziji</w:t>
            </w:r>
            <w:r w:rsidRPr="002D5A8D">
              <w:t xml:space="preserve"> i Jermenij</w:t>
            </w:r>
            <w:r>
              <w:t xml:space="preserve">i. </w:t>
            </w:r>
            <w:r w:rsidRPr="002D5A8D">
              <w:t>Ponu</w:t>
            </w:r>
            <w:r>
              <w:t>đač</w:t>
            </w:r>
            <w:r w:rsidRPr="002D5A8D">
              <w:t xml:space="preserve"> će</w:t>
            </w:r>
            <w:r>
              <w:t xml:space="preserve"> </w:t>
            </w:r>
            <w:r w:rsidRPr="002D5A8D">
              <w:t>pokazati neophod</w:t>
            </w:r>
            <w:r>
              <w:t>a</w:t>
            </w:r>
            <w:r w:rsidRPr="002D5A8D">
              <w:t xml:space="preserve">n prosečni godišnji promet </w:t>
            </w:r>
            <w:r>
              <w:t xml:space="preserve">koji </w:t>
            </w:r>
            <w:r w:rsidR="00275C77">
              <w:t>premašuje</w:t>
            </w:r>
            <w:r>
              <w:t xml:space="preserve"> 1 </w:t>
            </w:r>
            <w:r w:rsidRPr="002D5A8D">
              <w:t>milion</w:t>
            </w:r>
            <w:r>
              <w:t xml:space="preserve"> evra</w:t>
            </w:r>
            <w:r w:rsidRPr="002D5A8D">
              <w:t xml:space="preserve"> tokom posle</w:t>
            </w:r>
            <w:r>
              <w:t xml:space="preserve">dnje tri godine. </w:t>
            </w:r>
            <w:r w:rsidRPr="002D5A8D">
              <w:t xml:space="preserve">Konzorcijum ili </w:t>
            </w:r>
            <w:r>
              <w:t>joint</w:t>
            </w:r>
            <w:r w:rsidRPr="002D5A8D">
              <w:t xml:space="preserve"> venture </w:t>
            </w:r>
            <w:r>
              <w:t xml:space="preserve">treba </w:t>
            </w:r>
            <w:r w:rsidRPr="002D5A8D">
              <w:t xml:space="preserve">da pokaže ukupan prosečni godišnji promet od </w:t>
            </w:r>
            <w:r>
              <w:t xml:space="preserve">1 </w:t>
            </w:r>
            <w:r w:rsidRPr="002D5A8D">
              <w:t xml:space="preserve">milion </w:t>
            </w:r>
            <w:r>
              <w:t>evra tokom</w:t>
            </w:r>
            <w:r w:rsidRPr="002D5A8D">
              <w:t xml:space="preserve"> poslednje tri godine, </w:t>
            </w:r>
            <w:r w:rsidR="00275C77">
              <w:t>pošto</w:t>
            </w:r>
            <w:r>
              <w:t xml:space="preserve"> će </w:t>
            </w:r>
            <w:r w:rsidRPr="002D5A8D">
              <w:t>svaka strana pokazati</w:t>
            </w:r>
            <w:r>
              <w:t xml:space="preserve"> </w:t>
            </w:r>
            <w:r w:rsidRPr="002D5A8D">
              <w:t xml:space="preserve">prosečni godišnji </w:t>
            </w:r>
            <w:r>
              <w:t xml:space="preserve">promet od </w:t>
            </w:r>
            <w:r w:rsidRPr="002D5A8D">
              <w:t xml:space="preserve">najmanje </w:t>
            </w:r>
            <w:r>
              <w:t>0,</w:t>
            </w:r>
            <w:r w:rsidRPr="002D5A8D">
              <w:t>2 miliona</w:t>
            </w:r>
            <w:r>
              <w:t xml:space="preserve"> evra, </w:t>
            </w:r>
            <w:r w:rsidRPr="002D5A8D">
              <w:t>vodeći partner će pokazati pro</w:t>
            </w:r>
            <w:r>
              <w:t>sečni godišnji promet veći od 0,</w:t>
            </w:r>
            <w:r w:rsidRPr="002D5A8D">
              <w:t>7</w:t>
            </w:r>
            <w:r>
              <w:t xml:space="preserve"> </w:t>
            </w:r>
            <w:r w:rsidRPr="002D5A8D">
              <w:t>miliona</w:t>
            </w:r>
            <w:r>
              <w:t xml:space="preserve"> evra</w:t>
            </w:r>
            <w:r w:rsidR="007422AF" w:rsidRPr="007422AF">
              <w:rPr>
                <w:lang w:val="en-GB"/>
              </w:rPr>
              <w:t>.</w:t>
            </w:r>
          </w:p>
          <w:p w:rsidR="007422AF" w:rsidRPr="007422AF" w:rsidRDefault="007422AF" w:rsidP="007422AF">
            <w:pPr>
              <w:outlineLvl w:val="0"/>
              <w:rPr>
                <w:lang w:val="en-GB"/>
              </w:rPr>
            </w:pPr>
          </w:p>
          <w:p w:rsidR="00772348" w:rsidRDefault="00340585" w:rsidP="0016018B">
            <w:pPr>
              <w:jc w:val="both"/>
              <w:outlineLvl w:val="0"/>
              <w:rPr>
                <w:lang w:val="en-GB"/>
              </w:rPr>
            </w:pPr>
            <w:r w:rsidRPr="002D5A8D">
              <w:t xml:space="preserve">Podnosioci </w:t>
            </w:r>
            <w:r w:rsidR="00275C77">
              <w:t>prijave</w:t>
            </w:r>
            <w:r w:rsidRPr="002D5A8D">
              <w:t xml:space="preserve"> će</w:t>
            </w:r>
            <w:r>
              <w:t xml:space="preserve"> predati jedan original Prijave poslodavcu (KUJU)</w:t>
            </w:r>
            <w:r w:rsidRPr="002D5A8D">
              <w:t>, prv</w:t>
            </w:r>
            <w:r>
              <w:t>u</w:t>
            </w:r>
            <w:r w:rsidRPr="002D5A8D">
              <w:t xml:space="preserve"> </w:t>
            </w:r>
            <w:r>
              <w:t>kopiju T</w:t>
            </w:r>
            <w:r w:rsidRPr="002D5A8D">
              <w:t xml:space="preserve">enderskom agentu </w:t>
            </w:r>
            <w:r w:rsidR="00772348">
              <w:rPr>
                <w:lang w:val="en-GB"/>
              </w:rPr>
              <w:t>(Mr. Uwe Settelmaier)</w:t>
            </w:r>
            <w:r w:rsidR="007A5BB3">
              <w:rPr>
                <w:lang w:val="en-GB"/>
              </w:rPr>
              <w:t xml:space="preserve"> </w:t>
            </w:r>
            <w:r w:rsidR="00841BCE">
              <w:t>i</w:t>
            </w:r>
            <w:r>
              <w:t xml:space="preserve"> drugu kopiju T</w:t>
            </w:r>
            <w:r w:rsidRPr="002D5A8D">
              <w:t xml:space="preserve">enderskom agentu </w:t>
            </w:r>
            <w:r w:rsidR="00772348">
              <w:rPr>
                <w:lang w:val="en-GB"/>
              </w:rPr>
              <w:t>(Mrs. Hanna Slobodyanyuk-Montavon).</w:t>
            </w:r>
          </w:p>
          <w:p w:rsidR="00772348" w:rsidRDefault="00772348" w:rsidP="0016018B">
            <w:pPr>
              <w:jc w:val="both"/>
              <w:outlineLvl w:val="0"/>
              <w:rPr>
                <w:lang w:val="en-GB"/>
              </w:rPr>
            </w:pPr>
          </w:p>
          <w:p w:rsidR="00772348" w:rsidRDefault="00340585" w:rsidP="0016018B">
            <w:pPr>
              <w:jc w:val="both"/>
              <w:outlineLvl w:val="0"/>
              <w:rPr>
                <w:lang w:val="en-GB"/>
              </w:rPr>
            </w:pPr>
            <w:r w:rsidRPr="002D5A8D">
              <w:t xml:space="preserve">Detaljnije informacije o projektu, sadržaju i </w:t>
            </w:r>
            <w:r>
              <w:t>formi</w:t>
            </w:r>
            <w:r w:rsidRPr="002D5A8D">
              <w:t xml:space="preserve"> prijavne dokumentacije i obimu usluga </w:t>
            </w:r>
            <w:r>
              <w:t>K</w:t>
            </w:r>
            <w:r w:rsidRPr="002D5A8D">
              <w:t>o</w:t>
            </w:r>
            <w:r>
              <w:t>nsultanta mogu se zatražiti od T</w:t>
            </w:r>
            <w:r w:rsidRPr="002D5A8D">
              <w:t>enderskog agenta (TA).</w:t>
            </w:r>
            <w:r>
              <w:t xml:space="preserve"> </w:t>
            </w:r>
            <w:r w:rsidRPr="002D5A8D">
              <w:t xml:space="preserve">Bez ovih informacija možda neće biti moguće </w:t>
            </w:r>
            <w:r>
              <w:t>pripremiti</w:t>
            </w:r>
            <w:r w:rsidRPr="002D5A8D">
              <w:t xml:space="preserve"> </w:t>
            </w:r>
            <w:r>
              <w:t xml:space="preserve">usklađeni Iskaz o </w:t>
            </w:r>
            <w:r w:rsidR="00AA3BA9">
              <w:t>za</w:t>
            </w:r>
            <w:r w:rsidRPr="002D5A8D">
              <w:t>interes</w:t>
            </w:r>
            <w:r>
              <w:t>ov</w:t>
            </w:r>
            <w:r w:rsidRPr="002D5A8D">
              <w:t>a</w:t>
            </w:r>
            <w:r>
              <w:t>n</w:t>
            </w:r>
            <w:r w:rsidR="00AA3BA9">
              <w:t>osti</w:t>
            </w:r>
            <w:r w:rsidR="007422AF" w:rsidRPr="007422AF">
              <w:rPr>
                <w:lang w:val="en-GB"/>
              </w:rPr>
              <w:t xml:space="preserve">. </w:t>
            </w:r>
          </w:p>
          <w:p w:rsidR="00772348" w:rsidRDefault="00772348" w:rsidP="0016018B">
            <w:pPr>
              <w:jc w:val="both"/>
              <w:outlineLvl w:val="0"/>
              <w:rPr>
                <w:lang w:val="en-GB"/>
              </w:rPr>
            </w:pPr>
          </w:p>
          <w:p w:rsidR="007422AF" w:rsidRDefault="00340585" w:rsidP="0016018B">
            <w:pPr>
              <w:jc w:val="both"/>
              <w:outlineLvl w:val="0"/>
              <w:rPr>
                <w:lang w:val="en-GB"/>
              </w:rPr>
            </w:pPr>
            <w:r>
              <w:t>Detaljni Projektni</w:t>
            </w:r>
            <w:r w:rsidRPr="002D5A8D">
              <w:t xml:space="preserve"> zadatak biće </w:t>
            </w:r>
            <w:r>
              <w:t>obezbeđen</w:t>
            </w:r>
            <w:r w:rsidRPr="002D5A8D">
              <w:t xml:space="preserve"> konsultant</w:t>
            </w:r>
            <w:r>
              <w:t>u</w:t>
            </w:r>
            <w:r w:rsidR="00841BCE">
              <w:t xml:space="preserve"> koji je dostavio I</w:t>
            </w:r>
            <w:r>
              <w:t>skaz</w:t>
            </w:r>
            <w:r w:rsidRPr="002D5A8D">
              <w:t xml:space="preserve"> o zainteresovanosti i koji </w:t>
            </w:r>
            <w:r>
              <w:t>se</w:t>
            </w:r>
            <w:r w:rsidR="00483E63">
              <w:t xml:space="preserve"> uspešno pretkv</w:t>
            </w:r>
            <w:r w:rsidRPr="002D5A8D">
              <w:t>alifikovao</w:t>
            </w:r>
            <w:r w:rsidR="007422AF" w:rsidRPr="007422AF">
              <w:rPr>
                <w:lang w:val="en-GB"/>
              </w:rPr>
              <w:t>.</w:t>
            </w:r>
          </w:p>
          <w:p w:rsidR="007422AF" w:rsidRPr="007422AF" w:rsidRDefault="007422AF" w:rsidP="0016018B">
            <w:pPr>
              <w:jc w:val="both"/>
              <w:outlineLvl w:val="0"/>
              <w:rPr>
                <w:lang w:val="en-GB"/>
              </w:rPr>
            </w:pPr>
          </w:p>
          <w:p w:rsidR="007422AF" w:rsidRPr="007422AF" w:rsidRDefault="00841BCE" w:rsidP="0016018B">
            <w:pPr>
              <w:jc w:val="both"/>
              <w:outlineLvl w:val="0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>dgovorno lice Poslodavca</w:t>
            </w:r>
            <w:r>
              <w:rPr>
                <w:lang w:val="en-GB"/>
              </w:rPr>
              <w:t xml:space="preserve"> treba da bude kopirano pri svakom zahtevu ili prepisci sa TA</w:t>
            </w:r>
            <w:bookmarkStart w:id="0" w:name="_GoBack"/>
            <w:bookmarkEnd w:id="0"/>
            <w:r w:rsidR="007422AF" w:rsidRPr="007422AF">
              <w:rPr>
                <w:lang w:val="en-GB"/>
              </w:rPr>
              <w:t>.</w:t>
            </w:r>
          </w:p>
          <w:p w:rsidR="007422AF" w:rsidRPr="007422AF" w:rsidRDefault="007422AF" w:rsidP="007422AF">
            <w:pPr>
              <w:outlineLvl w:val="0"/>
              <w:rPr>
                <w:lang w:val="en-GB"/>
              </w:rPr>
            </w:pPr>
          </w:p>
        </w:tc>
      </w:tr>
      <w:tr w:rsidR="007422AF" w:rsidRPr="007422AF" w:rsidTr="00C435B9">
        <w:tc>
          <w:tcPr>
            <w:tcW w:w="2329" w:type="dxa"/>
          </w:tcPr>
          <w:p w:rsidR="007422AF" w:rsidRPr="007422AF" w:rsidRDefault="007422AF" w:rsidP="00983521">
            <w:pPr>
              <w:outlineLvl w:val="0"/>
              <w:rPr>
                <w:b/>
                <w:lang w:val="en-GB"/>
              </w:rPr>
            </w:pPr>
            <w:r w:rsidRPr="00AD160F">
              <w:rPr>
                <w:b/>
                <w:szCs w:val="22"/>
              </w:rPr>
              <w:lastRenderedPageBreak/>
              <w:t>Tender</w:t>
            </w:r>
            <w:r w:rsidR="00983521">
              <w:rPr>
                <w:b/>
                <w:szCs w:val="22"/>
              </w:rPr>
              <w:t>ski a</w:t>
            </w:r>
            <w:r w:rsidRPr="00AD160F">
              <w:rPr>
                <w:b/>
                <w:szCs w:val="22"/>
              </w:rPr>
              <w:t>gent:</w:t>
            </w:r>
          </w:p>
        </w:tc>
        <w:tc>
          <w:tcPr>
            <w:tcW w:w="7193" w:type="dxa"/>
          </w:tcPr>
          <w:p w:rsidR="007422AF" w:rsidRPr="007422AF" w:rsidRDefault="007422AF" w:rsidP="007422AF">
            <w:pPr>
              <w:outlineLvl w:val="0"/>
            </w:pPr>
            <w:r w:rsidRPr="007422AF">
              <w:t>Uwe Settelmaier, Dipl. Ing. (FH)</w:t>
            </w:r>
          </w:p>
          <w:p w:rsidR="007422AF" w:rsidRPr="007422AF" w:rsidRDefault="007422AF" w:rsidP="007422AF">
            <w:pPr>
              <w:outlineLvl w:val="0"/>
            </w:pPr>
            <w:r w:rsidRPr="007422AF">
              <w:t>Erbacher Straße 3</w:t>
            </w:r>
          </w:p>
          <w:p w:rsidR="00FF67A8" w:rsidRDefault="007422AF" w:rsidP="007422AF">
            <w:pPr>
              <w:outlineLvl w:val="0"/>
            </w:pPr>
            <w:r w:rsidRPr="007422AF">
              <w:t>68549 Ilvesheim</w:t>
            </w:r>
          </w:p>
          <w:p w:rsidR="007422AF" w:rsidRPr="007422AF" w:rsidRDefault="007422AF" w:rsidP="007422AF">
            <w:pPr>
              <w:outlineLvl w:val="0"/>
            </w:pPr>
            <w:r w:rsidRPr="007422AF">
              <w:t xml:space="preserve">Germany </w:t>
            </w:r>
          </w:p>
          <w:p w:rsidR="007422AF" w:rsidRPr="007422AF" w:rsidRDefault="007422AF" w:rsidP="007422AF">
            <w:pPr>
              <w:outlineLvl w:val="0"/>
            </w:pPr>
            <w:r w:rsidRPr="007422AF">
              <w:t xml:space="preserve">E-Mail: </w:t>
            </w:r>
            <w:hyperlink r:id="rId9" w:history="1">
              <w:r w:rsidRPr="008C5CC1">
                <w:rPr>
                  <w:rStyle w:val="Hyperlink"/>
                </w:rPr>
                <w:t>uswebmail@gmx.de</w:t>
              </w:r>
            </w:hyperlink>
          </w:p>
          <w:p w:rsidR="007422AF" w:rsidRPr="007422AF" w:rsidRDefault="007422AF" w:rsidP="007422AF">
            <w:pPr>
              <w:outlineLvl w:val="0"/>
            </w:pPr>
          </w:p>
          <w:p w:rsidR="007422AF" w:rsidRPr="007422AF" w:rsidRDefault="007422AF" w:rsidP="007422AF">
            <w:pPr>
              <w:outlineLvl w:val="0"/>
              <w:rPr>
                <w:lang w:val="en-GB"/>
              </w:rPr>
            </w:pPr>
            <w:r w:rsidRPr="007422AF">
              <w:rPr>
                <w:lang w:val="en-GB"/>
              </w:rPr>
              <w:lastRenderedPageBreak/>
              <w:t>Hanna Slobodyanyuk-Montavon, LL.M.</w:t>
            </w:r>
          </w:p>
          <w:p w:rsidR="007422AF" w:rsidRPr="007422AF" w:rsidRDefault="007422AF" w:rsidP="007422AF">
            <w:pPr>
              <w:outlineLvl w:val="0"/>
            </w:pPr>
            <w:r w:rsidRPr="007422AF">
              <w:t>Schöneberger Str. 9</w:t>
            </w:r>
          </w:p>
          <w:p w:rsidR="00FF67A8" w:rsidRDefault="007422AF" w:rsidP="007422AF">
            <w:pPr>
              <w:outlineLvl w:val="0"/>
            </w:pPr>
            <w:r w:rsidRPr="007422AF">
              <w:t>10963 Berlin</w:t>
            </w:r>
          </w:p>
          <w:p w:rsidR="007422AF" w:rsidRPr="007422AF" w:rsidRDefault="007422AF" w:rsidP="007422AF">
            <w:pPr>
              <w:outlineLvl w:val="0"/>
            </w:pPr>
            <w:r>
              <w:t>Germany</w:t>
            </w:r>
          </w:p>
          <w:p w:rsidR="007422AF" w:rsidRPr="007422AF" w:rsidRDefault="007422AF" w:rsidP="00983521">
            <w:pPr>
              <w:outlineLvl w:val="0"/>
            </w:pPr>
            <w:r>
              <w:t>E-</w:t>
            </w:r>
            <w:r w:rsidR="00983521">
              <w:t>m</w:t>
            </w:r>
            <w:r>
              <w:t xml:space="preserve">ail: </w:t>
            </w:r>
            <w:hyperlink r:id="rId10" w:history="1">
              <w:r w:rsidRPr="008C5CC1">
                <w:rPr>
                  <w:rStyle w:val="Hyperlink"/>
                </w:rPr>
                <w:t>hanna.sl@hotmail.com</w:t>
              </w:r>
            </w:hyperlink>
          </w:p>
        </w:tc>
      </w:tr>
      <w:tr w:rsidR="007422AF" w:rsidRPr="009D4272" w:rsidTr="00C435B9">
        <w:tc>
          <w:tcPr>
            <w:tcW w:w="2329" w:type="dxa"/>
          </w:tcPr>
          <w:p w:rsidR="009A1AD4" w:rsidRPr="00FC04C1" w:rsidRDefault="009A1AD4" w:rsidP="007422AF">
            <w:pPr>
              <w:outlineLvl w:val="0"/>
              <w:rPr>
                <w:b/>
                <w:szCs w:val="22"/>
              </w:rPr>
            </w:pPr>
          </w:p>
          <w:p w:rsidR="007422AF" w:rsidRPr="007422AF" w:rsidRDefault="00983521" w:rsidP="007422AF">
            <w:pPr>
              <w:outlineLvl w:val="0"/>
              <w:rPr>
                <w:b/>
              </w:rPr>
            </w:pPr>
            <w:r>
              <w:rPr>
                <w:b/>
                <w:szCs w:val="22"/>
                <w:lang w:val="en-GB"/>
              </w:rPr>
              <w:t>Poslodavac</w:t>
            </w:r>
            <w:r w:rsidR="007422AF" w:rsidRPr="00AD160F">
              <w:rPr>
                <w:b/>
                <w:szCs w:val="22"/>
                <w:lang w:val="en-GB"/>
              </w:rPr>
              <w:t>:</w:t>
            </w:r>
          </w:p>
        </w:tc>
        <w:tc>
          <w:tcPr>
            <w:tcW w:w="7193" w:type="dxa"/>
          </w:tcPr>
          <w:p w:rsidR="0021720F" w:rsidRDefault="0021720F" w:rsidP="007422AF">
            <w:pPr>
              <w:outlineLvl w:val="0"/>
              <w:rPr>
                <w:lang w:val="en-GB"/>
              </w:rPr>
            </w:pPr>
          </w:p>
          <w:p w:rsidR="00440F32" w:rsidRPr="00440F32" w:rsidRDefault="00983521" w:rsidP="00440F32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Kancelarija za upravljanje javnim ulaganjima</w:t>
            </w:r>
          </w:p>
          <w:p w:rsidR="00CF6A89" w:rsidRPr="00440F32" w:rsidRDefault="00983521" w:rsidP="00440F32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Snež</w:t>
            </w:r>
            <w:r w:rsidR="00440F32" w:rsidRPr="00440F32">
              <w:rPr>
                <w:lang w:val="en-GB"/>
              </w:rPr>
              <w:t>ana Popovi</w:t>
            </w:r>
            <w:r>
              <w:rPr>
                <w:lang w:val="en-GB"/>
              </w:rPr>
              <w:t>ć</w:t>
            </w:r>
          </w:p>
          <w:p w:rsidR="00440F32" w:rsidRPr="00440F32" w:rsidRDefault="00440F32" w:rsidP="00440F32">
            <w:pPr>
              <w:outlineLvl w:val="0"/>
              <w:rPr>
                <w:lang w:val="en-GB"/>
              </w:rPr>
            </w:pPr>
            <w:r w:rsidRPr="00440F32">
              <w:rPr>
                <w:lang w:val="en-GB"/>
              </w:rPr>
              <w:t>Nemanjina 11</w:t>
            </w:r>
          </w:p>
          <w:p w:rsidR="00440F32" w:rsidRPr="00440F32" w:rsidRDefault="00983521" w:rsidP="00440F32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11000 Beo</w:t>
            </w:r>
            <w:r w:rsidR="00440F32" w:rsidRPr="00440F32">
              <w:rPr>
                <w:lang w:val="en-GB"/>
              </w:rPr>
              <w:t>grad</w:t>
            </w:r>
          </w:p>
          <w:p w:rsidR="00FF67A8" w:rsidRDefault="00983521" w:rsidP="00440F32">
            <w:pPr>
              <w:outlineLvl w:val="0"/>
              <w:rPr>
                <w:lang w:val="en-GB"/>
              </w:rPr>
            </w:pPr>
            <w:r>
              <w:rPr>
                <w:lang w:val="en-GB"/>
              </w:rPr>
              <w:t>Republika</w:t>
            </w:r>
            <w:r w:rsidR="00440F32">
              <w:rPr>
                <w:lang w:val="en-GB"/>
              </w:rPr>
              <w:t xml:space="preserve"> </w:t>
            </w:r>
            <w:r w:rsidR="00440F32" w:rsidRPr="00440F32">
              <w:rPr>
                <w:lang w:val="en-GB"/>
              </w:rPr>
              <w:t>Srbi</w:t>
            </w:r>
            <w:r>
              <w:rPr>
                <w:lang w:val="en-GB"/>
              </w:rPr>
              <w:t>j</w:t>
            </w:r>
            <w:r w:rsidR="00440F32" w:rsidRPr="00440F32">
              <w:rPr>
                <w:lang w:val="en-GB"/>
              </w:rPr>
              <w:t>a</w:t>
            </w:r>
          </w:p>
          <w:p w:rsidR="007422AF" w:rsidRPr="00A60B8A" w:rsidRDefault="00FF67A8" w:rsidP="00983521">
            <w:pPr>
              <w:outlineLvl w:val="0"/>
              <w:rPr>
                <w:lang w:val="en-US"/>
              </w:rPr>
            </w:pPr>
            <w:r w:rsidRPr="00A60B8A">
              <w:rPr>
                <w:lang w:val="en-US"/>
              </w:rPr>
              <w:t>E-</w:t>
            </w:r>
            <w:r w:rsidR="00983521">
              <w:rPr>
                <w:lang w:val="en-US"/>
              </w:rPr>
              <w:t>m</w:t>
            </w:r>
            <w:r w:rsidRPr="00A60B8A">
              <w:rPr>
                <w:lang w:val="en-US"/>
              </w:rPr>
              <w:t>ai</w:t>
            </w:r>
            <w:r w:rsidR="00440F32" w:rsidRPr="00A60B8A">
              <w:rPr>
                <w:lang w:val="en-US"/>
              </w:rPr>
              <w:t xml:space="preserve">l: </w:t>
            </w:r>
            <w:hyperlink r:id="rId11" w:history="1">
              <w:r w:rsidR="00440F32" w:rsidRPr="00A60B8A">
                <w:rPr>
                  <w:rStyle w:val="Hyperlink"/>
                  <w:lang w:val="en-US"/>
                </w:rPr>
                <w:t>snezana.popovic@obnova.gov.rs</w:t>
              </w:r>
            </w:hyperlink>
          </w:p>
        </w:tc>
      </w:tr>
    </w:tbl>
    <w:p w:rsidR="0076419C" w:rsidRPr="00A60B8A" w:rsidRDefault="0076419C" w:rsidP="007A5BB3">
      <w:pPr>
        <w:rPr>
          <w:szCs w:val="22"/>
          <w:lang w:val="en-US"/>
        </w:rPr>
      </w:pPr>
    </w:p>
    <w:sectPr w:rsidR="0076419C" w:rsidRPr="00A60B8A" w:rsidSect="003F5C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AC9" w:rsidRDefault="00783AC9" w:rsidP="003F5C44">
      <w:r>
        <w:separator/>
      </w:r>
    </w:p>
  </w:endnote>
  <w:endnote w:type="continuationSeparator" w:id="0">
    <w:p w:rsidR="00783AC9" w:rsidRDefault="00783AC9" w:rsidP="003F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AC9" w:rsidRDefault="00783AC9" w:rsidP="003F5C44">
      <w:r>
        <w:separator/>
      </w:r>
    </w:p>
  </w:footnote>
  <w:footnote w:type="continuationSeparator" w:id="0">
    <w:p w:rsidR="00783AC9" w:rsidRDefault="00783AC9" w:rsidP="003F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23"/>
    <w:multiLevelType w:val="hybridMultilevel"/>
    <w:tmpl w:val="D2D86780"/>
    <w:lvl w:ilvl="0" w:tplc="53C2A2BA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4BE6"/>
    <w:multiLevelType w:val="hybridMultilevel"/>
    <w:tmpl w:val="A9EEA682"/>
    <w:lvl w:ilvl="0" w:tplc="95E4F71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65E"/>
    <w:multiLevelType w:val="hybridMultilevel"/>
    <w:tmpl w:val="D9F8965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3B07C08"/>
    <w:multiLevelType w:val="hybridMultilevel"/>
    <w:tmpl w:val="28604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98C"/>
    <w:multiLevelType w:val="hybridMultilevel"/>
    <w:tmpl w:val="78585D5A"/>
    <w:lvl w:ilvl="0" w:tplc="0407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5" w15:restartNumberingAfterBreak="0">
    <w:nsid w:val="1D335A0E"/>
    <w:multiLevelType w:val="hybridMultilevel"/>
    <w:tmpl w:val="2434476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EFC68F0"/>
    <w:multiLevelType w:val="hybridMultilevel"/>
    <w:tmpl w:val="DEBA15E6"/>
    <w:lvl w:ilvl="0" w:tplc="53C2A2BA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0327E"/>
    <w:multiLevelType w:val="hybridMultilevel"/>
    <w:tmpl w:val="7CD6BE0C"/>
    <w:lvl w:ilvl="0" w:tplc="8C34517C">
      <w:numFmt w:val="bullet"/>
      <w:lvlText w:val="-"/>
      <w:lvlJc w:val="left"/>
      <w:pPr>
        <w:ind w:left="2486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268F7DE4"/>
    <w:multiLevelType w:val="hybridMultilevel"/>
    <w:tmpl w:val="B0D45D04"/>
    <w:lvl w:ilvl="0" w:tplc="3CD65D8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4DD1"/>
    <w:multiLevelType w:val="hybridMultilevel"/>
    <w:tmpl w:val="2BBE8B20"/>
    <w:lvl w:ilvl="0" w:tplc="53C2A2BA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6C51"/>
    <w:multiLevelType w:val="hybridMultilevel"/>
    <w:tmpl w:val="C3BCAFDA"/>
    <w:lvl w:ilvl="0" w:tplc="0807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1" w15:restartNumberingAfterBreak="0">
    <w:nsid w:val="390E7C85"/>
    <w:multiLevelType w:val="hybridMultilevel"/>
    <w:tmpl w:val="AF1A1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65798"/>
    <w:multiLevelType w:val="hybridMultilevel"/>
    <w:tmpl w:val="6ED2D442"/>
    <w:lvl w:ilvl="0" w:tplc="0407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409B40C0"/>
    <w:multiLevelType w:val="hybridMultilevel"/>
    <w:tmpl w:val="7214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838AA"/>
    <w:multiLevelType w:val="hybridMultilevel"/>
    <w:tmpl w:val="2A9C266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4B8B4D6E"/>
    <w:multiLevelType w:val="hybridMultilevel"/>
    <w:tmpl w:val="965482D0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C593580"/>
    <w:multiLevelType w:val="hybridMultilevel"/>
    <w:tmpl w:val="5BCCFED8"/>
    <w:lvl w:ilvl="0" w:tplc="2C0E94B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0ABA"/>
    <w:multiLevelType w:val="hybridMultilevel"/>
    <w:tmpl w:val="57C6B2F4"/>
    <w:lvl w:ilvl="0" w:tplc="0407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52C64CB4"/>
    <w:multiLevelType w:val="hybridMultilevel"/>
    <w:tmpl w:val="5ED0E01C"/>
    <w:lvl w:ilvl="0" w:tplc="83C0D9D6">
      <w:start w:val="5"/>
      <w:numFmt w:val="bullet"/>
      <w:lvlText w:val="-"/>
      <w:lvlJc w:val="left"/>
      <w:pPr>
        <w:ind w:left="43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54F5071A"/>
    <w:multiLevelType w:val="hybridMultilevel"/>
    <w:tmpl w:val="41165DE6"/>
    <w:lvl w:ilvl="0" w:tplc="EDA440F6">
      <w:start w:val="1"/>
      <w:numFmt w:val="bullet"/>
      <w:lvlText w:val=""/>
      <w:lvlJc w:val="left"/>
      <w:pPr>
        <w:ind w:left="1767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487" w:hanging="360"/>
      </w:pPr>
    </w:lvl>
    <w:lvl w:ilvl="2" w:tplc="0407001B">
      <w:start w:val="1"/>
      <w:numFmt w:val="lowerRoman"/>
      <w:lvlText w:val="%3."/>
      <w:lvlJc w:val="right"/>
      <w:pPr>
        <w:ind w:left="3207" w:hanging="180"/>
      </w:pPr>
    </w:lvl>
    <w:lvl w:ilvl="3" w:tplc="0407000F">
      <w:start w:val="1"/>
      <w:numFmt w:val="decimal"/>
      <w:lvlText w:val="%4."/>
      <w:lvlJc w:val="left"/>
      <w:pPr>
        <w:ind w:left="3927" w:hanging="360"/>
      </w:pPr>
    </w:lvl>
    <w:lvl w:ilvl="4" w:tplc="04070019" w:tentative="1">
      <w:start w:val="1"/>
      <w:numFmt w:val="lowerLetter"/>
      <w:lvlText w:val="%5."/>
      <w:lvlJc w:val="left"/>
      <w:pPr>
        <w:ind w:left="4647" w:hanging="360"/>
      </w:pPr>
    </w:lvl>
    <w:lvl w:ilvl="5" w:tplc="0407001B" w:tentative="1">
      <w:start w:val="1"/>
      <w:numFmt w:val="lowerRoman"/>
      <w:lvlText w:val="%6."/>
      <w:lvlJc w:val="right"/>
      <w:pPr>
        <w:ind w:left="5367" w:hanging="180"/>
      </w:pPr>
    </w:lvl>
    <w:lvl w:ilvl="6" w:tplc="0407000F" w:tentative="1">
      <w:start w:val="1"/>
      <w:numFmt w:val="decimal"/>
      <w:lvlText w:val="%7."/>
      <w:lvlJc w:val="left"/>
      <w:pPr>
        <w:ind w:left="6087" w:hanging="360"/>
      </w:pPr>
    </w:lvl>
    <w:lvl w:ilvl="7" w:tplc="04070019" w:tentative="1">
      <w:start w:val="1"/>
      <w:numFmt w:val="lowerLetter"/>
      <w:lvlText w:val="%8."/>
      <w:lvlJc w:val="left"/>
      <w:pPr>
        <w:ind w:left="6807" w:hanging="360"/>
      </w:pPr>
    </w:lvl>
    <w:lvl w:ilvl="8" w:tplc="0407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0" w15:restartNumberingAfterBreak="0">
    <w:nsid w:val="560D07CE"/>
    <w:multiLevelType w:val="multilevel"/>
    <w:tmpl w:val="8CAE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9D0670"/>
    <w:multiLevelType w:val="hybridMultilevel"/>
    <w:tmpl w:val="2DE2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2477E"/>
    <w:multiLevelType w:val="hybridMultilevel"/>
    <w:tmpl w:val="2C1A5A04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56E72A3"/>
    <w:multiLevelType w:val="hybridMultilevel"/>
    <w:tmpl w:val="F2EA94E2"/>
    <w:lvl w:ilvl="0" w:tplc="0407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8722F49"/>
    <w:multiLevelType w:val="hybridMultilevel"/>
    <w:tmpl w:val="8ED276C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68AA0652"/>
    <w:multiLevelType w:val="hybridMultilevel"/>
    <w:tmpl w:val="5E36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D00AF"/>
    <w:multiLevelType w:val="hybridMultilevel"/>
    <w:tmpl w:val="EFEA7B38"/>
    <w:lvl w:ilvl="0" w:tplc="0407000F">
      <w:start w:val="1"/>
      <w:numFmt w:val="decimal"/>
      <w:lvlText w:val="%1."/>
      <w:lvlJc w:val="left"/>
      <w:pPr>
        <w:ind w:left="2844" w:hanging="360"/>
      </w:p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6F4F67E6"/>
    <w:multiLevelType w:val="hybridMultilevel"/>
    <w:tmpl w:val="1A6E49FA"/>
    <w:lvl w:ilvl="0" w:tplc="89505A4A">
      <w:numFmt w:val="bullet"/>
      <w:lvlText w:val="-"/>
      <w:lvlJc w:val="left"/>
      <w:pPr>
        <w:ind w:left="262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8" w15:restartNumberingAfterBreak="0">
    <w:nsid w:val="72E6238B"/>
    <w:multiLevelType w:val="hybridMultilevel"/>
    <w:tmpl w:val="CA0A7BE2"/>
    <w:lvl w:ilvl="0" w:tplc="0407000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94" w:hanging="360"/>
      </w:pPr>
      <w:rPr>
        <w:rFonts w:ascii="Wingdings" w:hAnsi="Wingdings" w:hint="default"/>
      </w:rPr>
    </w:lvl>
  </w:abstractNum>
  <w:abstractNum w:abstractNumId="29" w15:restartNumberingAfterBreak="0">
    <w:nsid w:val="78B16F51"/>
    <w:multiLevelType w:val="hybridMultilevel"/>
    <w:tmpl w:val="830A78F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D625E00"/>
    <w:multiLevelType w:val="hybridMultilevel"/>
    <w:tmpl w:val="C5DACE3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7066C2"/>
    <w:multiLevelType w:val="hybridMultilevel"/>
    <w:tmpl w:val="E7368A98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 w15:restartNumberingAfterBreak="0">
    <w:nsid w:val="7E9A2829"/>
    <w:multiLevelType w:val="hybridMultilevel"/>
    <w:tmpl w:val="F4062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0"/>
  </w:num>
  <w:num w:numId="5">
    <w:abstractNumId w:val="19"/>
  </w:num>
  <w:num w:numId="6">
    <w:abstractNumId w:val="15"/>
  </w:num>
  <w:num w:numId="7">
    <w:abstractNumId w:val="22"/>
  </w:num>
  <w:num w:numId="8">
    <w:abstractNumId w:val="31"/>
  </w:num>
  <w:num w:numId="9">
    <w:abstractNumId w:val="5"/>
  </w:num>
  <w:num w:numId="10">
    <w:abstractNumId w:val="27"/>
  </w:num>
  <w:num w:numId="11">
    <w:abstractNumId w:val="29"/>
  </w:num>
  <w:num w:numId="12">
    <w:abstractNumId w:val="2"/>
  </w:num>
  <w:num w:numId="13">
    <w:abstractNumId w:val="28"/>
  </w:num>
  <w:num w:numId="14">
    <w:abstractNumId w:val="4"/>
  </w:num>
  <w:num w:numId="15">
    <w:abstractNumId w:val="32"/>
  </w:num>
  <w:num w:numId="16">
    <w:abstractNumId w:val="18"/>
  </w:num>
  <w:num w:numId="17">
    <w:abstractNumId w:val="23"/>
  </w:num>
  <w:num w:numId="18">
    <w:abstractNumId w:val="7"/>
  </w:num>
  <w:num w:numId="19">
    <w:abstractNumId w:val="12"/>
  </w:num>
  <w:num w:numId="20">
    <w:abstractNumId w:val="10"/>
  </w:num>
  <w:num w:numId="21">
    <w:abstractNumId w:val="17"/>
  </w:num>
  <w:num w:numId="22">
    <w:abstractNumId w:val="8"/>
  </w:num>
  <w:num w:numId="23">
    <w:abstractNumId w:val="30"/>
  </w:num>
  <w:num w:numId="24">
    <w:abstractNumId w:val="11"/>
  </w:num>
  <w:num w:numId="25">
    <w:abstractNumId w:val="21"/>
  </w:num>
  <w:num w:numId="26">
    <w:abstractNumId w:val="16"/>
  </w:num>
  <w:num w:numId="27">
    <w:abstractNumId w:val="25"/>
  </w:num>
  <w:num w:numId="28">
    <w:abstractNumId w:val="9"/>
  </w:num>
  <w:num w:numId="29">
    <w:abstractNumId w:val="0"/>
  </w:num>
  <w:num w:numId="30">
    <w:abstractNumId w:val="6"/>
  </w:num>
  <w:num w:numId="31">
    <w:abstractNumId w:val="13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TYzMjW1sDQyMza3NLRQ0lEKTi0uzszPAykwrAUAWdYsSSwAAAA="/>
  </w:docVars>
  <w:rsids>
    <w:rsidRoot w:val="00096555"/>
    <w:rsid w:val="00000B27"/>
    <w:rsid w:val="00000DB0"/>
    <w:rsid w:val="00010661"/>
    <w:rsid w:val="0001120F"/>
    <w:rsid w:val="000125D6"/>
    <w:rsid w:val="000126AC"/>
    <w:rsid w:val="00012F4F"/>
    <w:rsid w:val="000157A5"/>
    <w:rsid w:val="000169A3"/>
    <w:rsid w:val="000176C7"/>
    <w:rsid w:val="000219A0"/>
    <w:rsid w:val="00030782"/>
    <w:rsid w:val="00032558"/>
    <w:rsid w:val="000349DF"/>
    <w:rsid w:val="0004140C"/>
    <w:rsid w:val="00043EF3"/>
    <w:rsid w:val="00050BA3"/>
    <w:rsid w:val="000574E1"/>
    <w:rsid w:val="000662FA"/>
    <w:rsid w:val="00066E44"/>
    <w:rsid w:val="00071E1A"/>
    <w:rsid w:val="00073DD0"/>
    <w:rsid w:val="00074EC3"/>
    <w:rsid w:val="00075495"/>
    <w:rsid w:val="00084678"/>
    <w:rsid w:val="000913F0"/>
    <w:rsid w:val="00096555"/>
    <w:rsid w:val="00097DD2"/>
    <w:rsid w:val="000A1956"/>
    <w:rsid w:val="000B2F5E"/>
    <w:rsid w:val="000B4A42"/>
    <w:rsid w:val="000B64FF"/>
    <w:rsid w:val="000C33E0"/>
    <w:rsid w:val="000C4C85"/>
    <w:rsid w:val="000D3431"/>
    <w:rsid w:val="000D3AFC"/>
    <w:rsid w:val="000E3104"/>
    <w:rsid w:val="000E5B37"/>
    <w:rsid w:val="000E7FFC"/>
    <w:rsid w:val="000F5009"/>
    <w:rsid w:val="00101D45"/>
    <w:rsid w:val="00102770"/>
    <w:rsid w:val="00111E41"/>
    <w:rsid w:val="001135CE"/>
    <w:rsid w:val="00113CAF"/>
    <w:rsid w:val="0011592F"/>
    <w:rsid w:val="0012282A"/>
    <w:rsid w:val="0012556E"/>
    <w:rsid w:val="00133EF8"/>
    <w:rsid w:val="00135BF0"/>
    <w:rsid w:val="00136A0B"/>
    <w:rsid w:val="00137F3E"/>
    <w:rsid w:val="00142F2E"/>
    <w:rsid w:val="001432FE"/>
    <w:rsid w:val="001454F9"/>
    <w:rsid w:val="0016018B"/>
    <w:rsid w:val="0016067D"/>
    <w:rsid w:val="001612C6"/>
    <w:rsid w:val="00164029"/>
    <w:rsid w:val="001719F7"/>
    <w:rsid w:val="00172F80"/>
    <w:rsid w:val="001754B3"/>
    <w:rsid w:val="0017633D"/>
    <w:rsid w:val="00177006"/>
    <w:rsid w:val="00185126"/>
    <w:rsid w:val="00193EDC"/>
    <w:rsid w:val="0019443B"/>
    <w:rsid w:val="00195420"/>
    <w:rsid w:val="001A29A9"/>
    <w:rsid w:val="001A69D5"/>
    <w:rsid w:val="001B1008"/>
    <w:rsid w:val="001B27B1"/>
    <w:rsid w:val="001D6B86"/>
    <w:rsid w:val="001E2F95"/>
    <w:rsid w:val="001E465D"/>
    <w:rsid w:val="001E4935"/>
    <w:rsid w:val="001E4FF7"/>
    <w:rsid w:val="001E5CD0"/>
    <w:rsid w:val="001F1F2D"/>
    <w:rsid w:val="001F5A87"/>
    <w:rsid w:val="00201214"/>
    <w:rsid w:val="0020285D"/>
    <w:rsid w:val="00205550"/>
    <w:rsid w:val="002104D6"/>
    <w:rsid w:val="00211683"/>
    <w:rsid w:val="00213231"/>
    <w:rsid w:val="00213C1B"/>
    <w:rsid w:val="002149BC"/>
    <w:rsid w:val="002164AA"/>
    <w:rsid w:val="0021720F"/>
    <w:rsid w:val="0022136C"/>
    <w:rsid w:val="00225D4D"/>
    <w:rsid w:val="002272B7"/>
    <w:rsid w:val="0023043F"/>
    <w:rsid w:val="00231FB6"/>
    <w:rsid w:val="002338EC"/>
    <w:rsid w:val="002364A8"/>
    <w:rsid w:val="00236EAE"/>
    <w:rsid w:val="00237B06"/>
    <w:rsid w:val="00242277"/>
    <w:rsid w:val="00246DDC"/>
    <w:rsid w:val="00251AF5"/>
    <w:rsid w:val="00265339"/>
    <w:rsid w:val="00265FE6"/>
    <w:rsid w:val="002663F0"/>
    <w:rsid w:val="00266CA4"/>
    <w:rsid w:val="00267249"/>
    <w:rsid w:val="00273E78"/>
    <w:rsid w:val="00275C77"/>
    <w:rsid w:val="002853F0"/>
    <w:rsid w:val="00294D80"/>
    <w:rsid w:val="00296FF2"/>
    <w:rsid w:val="002A4716"/>
    <w:rsid w:val="002C325A"/>
    <w:rsid w:val="002C3DC2"/>
    <w:rsid w:val="002C454D"/>
    <w:rsid w:val="002C677A"/>
    <w:rsid w:val="002C69E6"/>
    <w:rsid w:val="002D5B18"/>
    <w:rsid w:val="002E08D6"/>
    <w:rsid w:val="002E1F58"/>
    <w:rsid w:val="002E21C1"/>
    <w:rsid w:val="002E56E5"/>
    <w:rsid w:val="002F16CF"/>
    <w:rsid w:val="002F2590"/>
    <w:rsid w:val="002F4FBE"/>
    <w:rsid w:val="003037C0"/>
    <w:rsid w:val="0030737C"/>
    <w:rsid w:val="0031275A"/>
    <w:rsid w:val="0031364E"/>
    <w:rsid w:val="003173FB"/>
    <w:rsid w:val="00321F6E"/>
    <w:rsid w:val="0032314D"/>
    <w:rsid w:val="00327379"/>
    <w:rsid w:val="00330896"/>
    <w:rsid w:val="0033372C"/>
    <w:rsid w:val="00334768"/>
    <w:rsid w:val="00340585"/>
    <w:rsid w:val="00342EAF"/>
    <w:rsid w:val="00345D2C"/>
    <w:rsid w:val="003561F5"/>
    <w:rsid w:val="00360B2A"/>
    <w:rsid w:val="00360FEA"/>
    <w:rsid w:val="003616A6"/>
    <w:rsid w:val="00364FCB"/>
    <w:rsid w:val="003663B7"/>
    <w:rsid w:val="00366BD4"/>
    <w:rsid w:val="003672B6"/>
    <w:rsid w:val="0037220B"/>
    <w:rsid w:val="00374147"/>
    <w:rsid w:val="00381095"/>
    <w:rsid w:val="0038222D"/>
    <w:rsid w:val="00386F6C"/>
    <w:rsid w:val="0039195C"/>
    <w:rsid w:val="00391B54"/>
    <w:rsid w:val="00394DBE"/>
    <w:rsid w:val="00396E5D"/>
    <w:rsid w:val="003A2DAB"/>
    <w:rsid w:val="003A34B6"/>
    <w:rsid w:val="003A60F2"/>
    <w:rsid w:val="003B3067"/>
    <w:rsid w:val="003B4078"/>
    <w:rsid w:val="003B45D8"/>
    <w:rsid w:val="003B4701"/>
    <w:rsid w:val="003B57EC"/>
    <w:rsid w:val="003C6CDD"/>
    <w:rsid w:val="003D0850"/>
    <w:rsid w:val="003E35DA"/>
    <w:rsid w:val="003E6011"/>
    <w:rsid w:val="003F435F"/>
    <w:rsid w:val="003F5476"/>
    <w:rsid w:val="003F5C44"/>
    <w:rsid w:val="003F6CC3"/>
    <w:rsid w:val="003F6FF8"/>
    <w:rsid w:val="00406F98"/>
    <w:rsid w:val="0040760D"/>
    <w:rsid w:val="004123FB"/>
    <w:rsid w:val="004277A7"/>
    <w:rsid w:val="00431EB9"/>
    <w:rsid w:val="00434103"/>
    <w:rsid w:val="00437BF6"/>
    <w:rsid w:val="00440F32"/>
    <w:rsid w:val="00441FE7"/>
    <w:rsid w:val="00452AE2"/>
    <w:rsid w:val="004545B6"/>
    <w:rsid w:val="0045593C"/>
    <w:rsid w:val="00463C33"/>
    <w:rsid w:val="00474AE1"/>
    <w:rsid w:val="004757C8"/>
    <w:rsid w:val="00483E63"/>
    <w:rsid w:val="00486E08"/>
    <w:rsid w:val="00495845"/>
    <w:rsid w:val="00496501"/>
    <w:rsid w:val="00496EA3"/>
    <w:rsid w:val="004A41D0"/>
    <w:rsid w:val="004B2606"/>
    <w:rsid w:val="004B34BD"/>
    <w:rsid w:val="004B3A4C"/>
    <w:rsid w:val="004B3E1F"/>
    <w:rsid w:val="004B6094"/>
    <w:rsid w:val="004B76CC"/>
    <w:rsid w:val="004D451C"/>
    <w:rsid w:val="004D684B"/>
    <w:rsid w:val="004D7CC0"/>
    <w:rsid w:val="004F0219"/>
    <w:rsid w:val="004F6735"/>
    <w:rsid w:val="00507674"/>
    <w:rsid w:val="00507AED"/>
    <w:rsid w:val="00507D20"/>
    <w:rsid w:val="005223E0"/>
    <w:rsid w:val="00523B47"/>
    <w:rsid w:val="00525602"/>
    <w:rsid w:val="00525803"/>
    <w:rsid w:val="00526DAB"/>
    <w:rsid w:val="00531D79"/>
    <w:rsid w:val="00535978"/>
    <w:rsid w:val="00535F45"/>
    <w:rsid w:val="00546E6E"/>
    <w:rsid w:val="0055222B"/>
    <w:rsid w:val="00552524"/>
    <w:rsid w:val="005542D6"/>
    <w:rsid w:val="00555889"/>
    <w:rsid w:val="00556F62"/>
    <w:rsid w:val="00561016"/>
    <w:rsid w:val="00564FA2"/>
    <w:rsid w:val="00573CFB"/>
    <w:rsid w:val="0058189A"/>
    <w:rsid w:val="00586F31"/>
    <w:rsid w:val="00590C99"/>
    <w:rsid w:val="005A3A58"/>
    <w:rsid w:val="005A3BFE"/>
    <w:rsid w:val="005A7CF5"/>
    <w:rsid w:val="005B131F"/>
    <w:rsid w:val="005B2795"/>
    <w:rsid w:val="005B7098"/>
    <w:rsid w:val="005B778D"/>
    <w:rsid w:val="005C3F8D"/>
    <w:rsid w:val="005D3217"/>
    <w:rsid w:val="005E2BF3"/>
    <w:rsid w:val="005E5E22"/>
    <w:rsid w:val="005E6833"/>
    <w:rsid w:val="005F098B"/>
    <w:rsid w:val="005F1B28"/>
    <w:rsid w:val="005F670A"/>
    <w:rsid w:val="005F6956"/>
    <w:rsid w:val="006031B5"/>
    <w:rsid w:val="00604574"/>
    <w:rsid w:val="006055B7"/>
    <w:rsid w:val="00611518"/>
    <w:rsid w:val="006162F2"/>
    <w:rsid w:val="0062170E"/>
    <w:rsid w:val="00622EBE"/>
    <w:rsid w:val="00627DF3"/>
    <w:rsid w:val="006302EA"/>
    <w:rsid w:val="00630AB1"/>
    <w:rsid w:val="0063221F"/>
    <w:rsid w:val="00633B97"/>
    <w:rsid w:val="006349E8"/>
    <w:rsid w:val="00637823"/>
    <w:rsid w:val="006447C0"/>
    <w:rsid w:val="006450BB"/>
    <w:rsid w:val="00651F82"/>
    <w:rsid w:val="00653A5B"/>
    <w:rsid w:val="00654F9B"/>
    <w:rsid w:val="00655BD6"/>
    <w:rsid w:val="0066612D"/>
    <w:rsid w:val="00667A94"/>
    <w:rsid w:val="00671972"/>
    <w:rsid w:val="006757A3"/>
    <w:rsid w:val="00681B56"/>
    <w:rsid w:val="006879DD"/>
    <w:rsid w:val="00694E0A"/>
    <w:rsid w:val="00695DCA"/>
    <w:rsid w:val="00696BF4"/>
    <w:rsid w:val="006970B4"/>
    <w:rsid w:val="006A5B86"/>
    <w:rsid w:val="006A5D0D"/>
    <w:rsid w:val="006A6E6E"/>
    <w:rsid w:val="006B2331"/>
    <w:rsid w:val="006D4F08"/>
    <w:rsid w:val="006D6066"/>
    <w:rsid w:val="006D72D9"/>
    <w:rsid w:val="006E5B15"/>
    <w:rsid w:val="006E5E4A"/>
    <w:rsid w:val="006E605F"/>
    <w:rsid w:val="00717AEB"/>
    <w:rsid w:val="00721D15"/>
    <w:rsid w:val="0073188C"/>
    <w:rsid w:val="007347E8"/>
    <w:rsid w:val="00735AED"/>
    <w:rsid w:val="007422AF"/>
    <w:rsid w:val="00762E5B"/>
    <w:rsid w:val="0076419C"/>
    <w:rsid w:val="0077183C"/>
    <w:rsid w:val="00772348"/>
    <w:rsid w:val="00775DA9"/>
    <w:rsid w:val="00777855"/>
    <w:rsid w:val="00777870"/>
    <w:rsid w:val="0078043B"/>
    <w:rsid w:val="00783AC9"/>
    <w:rsid w:val="007A5BB3"/>
    <w:rsid w:val="007A6480"/>
    <w:rsid w:val="007A69B0"/>
    <w:rsid w:val="007B117B"/>
    <w:rsid w:val="007C0C6B"/>
    <w:rsid w:val="007C2CDC"/>
    <w:rsid w:val="007C5593"/>
    <w:rsid w:val="007C5A4E"/>
    <w:rsid w:val="007E50DD"/>
    <w:rsid w:val="007F1EC4"/>
    <w:rsid w:val="007F29E0"/>
    <w:rsid w:val="007F4C23"/>
    <w:rsid w:val="007F5842"/>
    <w:rsid w:val="007F73D4"/>
    <w:rsid w:val="007F75D4"/>
    <w:rsid w:val="00804524"/>
    <w:rsid w:val="00807DFD"/>
    <w:rsid w:val="00820B53"/>
    <w:rsid w:val="008238C6"/>
    <w:rsid w:val="00826DC1"/>
    <w:rsid w:val="00827E7A"/>
    <w:rsid w:val="00830AA1"/>
    <w:rsid w:val="00831127"/>
    <w:rsid w:val="00836B2F"/>
    <w:rsid w:val="00841BCE"/>
    <w:rsid w:val="008447CF"/>
    <w:rsid w:val="00850353"/>
    <w:rsid w:val="00855E83"/>
    <w:rsid w:val="00857235"/>
    <w:rsid w:val="0086015E"/>
    <w:rsid w:val="00861F0E"/>
    <w:rsid w:val="00862066"/>
    <w:rsid w:val="008639B1"/>
    <w:rsid w:val="00867B8C"/>
    <w:rsid w:val="00870720"/>
    <w:rsid w:val="0087440C"/>
    <w:rsid w:val="008813D9"/>
    <w:rsid w:val="008817D6"/>
    <w:rsid w:val="00894E10"/>
    <w:rsid w:val="008A1DD0"/>
    <w:rsid w:val="008B29AC"/>
    <w:rsid w:val="008B6FB6"/>
    <w:rsid w:val="008C44E9"/>
    <w:rsid w:val="008C79D4"/>
    <w:rsid w:val="008D13FF"/>
    <w:rsid w:val="008D3F69"/>
    <w:rsid w:val="008D51C1"/>
    <w:rsid w:val="008E0071"/>
    <w:rsid w:val="008E3B6C"/>
    <w:rsid w:val="008E6421"/>
    <w:rsid w:val="008F3DB8"/>
    <w:rsid w:val="0090326C"/>
    <w:rsid w:val="00906898"/>
    <w:rsid w:val="00923040"/>
    <w:rsid w:val="00924362"/>
    <w:rsid w:val="00932C8C"/>
    <w:rsid w:val="0093727C"/>
    <w:rsid w:val="0093758F"/>
    <w:rsid w:val="0094307E"/>
    <w:rsid w:val="0094319D"/>
    <w:rsid w:val="00953017"/>
    <w:rsid w:val="0095704E"/>
    <w:rsid w:val="00962D8F"/>
    <w:rsid w:val="00970356"/>
    <w:rsid w:val="00983521"/>
    <w:rsid w:val="009846FB"/>
    <w:rsid w:val="00987AF9"/>
    <w:rsid w:val="0099454D"/>
    <w:rsid w:val="00996BC4"/>
    <w:rsid w:val="0099747E"/>
    <w:rsid w:val="009A0E0E"/>
    <w:rsid w:val="009A187D"/>
    <w:rsid w:val="009A1AD4"/>
    <w:rsid w:val="009A6054"/>
    <w:rsid w:val="009A67D5"/>
    <w:rsid w:val="009B1DD8"/>
    <w:rsid w:val="009C51E6"/>
    <w:rsid w:val="009D2E15"/>
    <w:rsid w:val="009D3CD3"/>
    <w:rsid w:val="009D4272"/>
    <w:rsid w:val="009E2D6F"/>
    <w:rsid w:val="009E6F26"/>
    <w:rsid w:val="009F2517"/>
    <w:rsid w:val="009F603A"/>
    <w:rsid w:val="00A029EF"/>
    <w:rsid w:val="00A03977"/>
    <w:rsid w:val="00A107F1"/>
    <w:rsid w:val="00A10A53"/>
    <w:rsid w:val="00A1792F"/>
    <w:rsid w:val="00A34BED"/>
    <w:rsid w:val="00A35433"/>
    <w:rsid w:val="00A35771"/>
    <w:rsid w:val="00A36DB3"/>
    <w:rsid w:val="00A37303"/>
    <w:rsid w:val="00A375F0"/>
    <w:rsid w:val="00A43493"/>
    <w:rsid w:val="00A43DB0"/>
    <w:rsid w:val="00A51077"/>
    <w:rsid w:val="00A568C4"/>
    <w:rsid w:val="00A56EE3"/>
    <w:rsid w:val="00A6095A"/>
    <w:rsid w:val="00A60B8A"/>
    <w:rsid w:val="00A62D99"/>
    <w:rsid w:val="00A64B52"/>
    <w:rsid w:val="00A666F3"/>
    <w:rsid w:val="00A70E4B"/>
    <w:rsid w:val="00A754F8"/>
    <w:rsid w:val="00A75D18"/>
    <w:rsid w:val="00A7644D"/>
    <w:rsid w:val="00A770D3"/>
    <w:rsid w:val="00A77A00"/>
    <w:rsid w:val="00A77F96"/>
    <w:rsid w:val="00A8351A"/>
    <w:rsid w:val="00A844B9"/>
    <w:rsid w:val="00A9048E"/>
    <w:rsid w:val="00AA2E01"/>
    <w:rsid w:val="00AA349B"/>
    <w:rsid w:val="00AA3BA9"/>
    <w:rsid w:val="00AA6CD0"/>
    <w:rsid w:val="00AA7D52"/>
    <w:rsid w:val="00AB6254"/>
    <w:rsid w:val="00AC1DF3"/>
    <w:rsid w:val="00AC598E"/>
    <w:rsid w:val="00AC61ED"/>
    <w:rsid w:val="00AD160F"/>
    <w:rsid w:val="00AD16A4"/>
    <w:rsid w:val="00AD72FD"/>
    <w:rsid w:val="00AE2188"/>
    <w:rsid w:val="00AE472A"/>
    <w:rsid w:val="00AE5592"/>
    <w:rsid w:val="00AE6447"/>
    <w:rsid w:val="00AE6F52"/>
    <w:rsid w:val="00AF133A"/>
    <w:rsid w:val="00AF64E5"/>
    <w:rsid w:val="00AF73F1"/>
    <w:rsid w:val="00B038AB"/>
    <w:rsid w:val="00B054C2"/>
    <w:rsid w:val="00B12889"/>
    <w:rsid w:val="00B31233"/>
    <w:rsid w:val="00B45997"/>
    <w:rsid w:val="00B46DB4"/>
    <w:rsid w:val="00B4718A"/>
    <w:rsid w:val="00B471DE"/>
    <w:rsid w:val="00B479C9"/>
    <w:rsid w:val="00B51C91"/>
    <w:rsid w:val="00B527C9"/>
    <w:rsid w:val="00B52C25"/>
    <w:rsid w:val="00B63193"/>
    <w:rsid w:val="00B6451C"/>
    <w:rsid w:val="00B74315"/>
    <w:rsid w:val="00B80224"/>
    <w:rsid w:val="00B879DB"/>
    <w:rsid w:val="00B9287F"/>
    <w:rsid w:val="00BA43E5"/>
    <w:rsid w:val="00BA4AD3"/>
    <w:rsid w:val="00BA4D62"/>
    <w:rsid w:val="00BA5F1E"/>
    <w:rsid w:val="00BB1286"/>
    <w:rsid w:val="00BB4D52"/>
    <w:rsid w:val="00BC4589"/>
    <w:rsid w:val="00BC4EFA"/>
    <w:rsid w:val="00BD4769"/>
    <w:rsid w:val="00BD6C16"/>
    <w:rsid w:val="00BE35C8"/>
    <w:rsid w:val="00BE6C7F"/>
    <w:rsid w:val="00BE760C"/>
    <w:rsid w:val="00C0253C"/>
    <w:rsid w:val="00C106EF"/>
    <w:rsid w:val="00C14532"/>
    <w:rsid w:val="00C23FD4"/>
    <w:rsid w:val="00C31F40"/>
    <w:rsid w:val="00C32433"/>
    <w:rsid w:val="00C325A0"/>
    <w:rsid w:val="00C33D96"/>
    <w:rsid w:val="00C4056D"/>
    <w:rsid w:val="00C42B49"/>
    <w:rsid w:val="00C435B9"/>
    <w:rsid w:val="00C51228"/>
    <w:rsid w:val="00C52FC1"/>
    <w:rsid w:val="00C53147"/>
    <w:rsid w:val="00C62D56"/>
    <w:rsid w:val="00C67EB8"/>
    <w:rsid w:val="00C70642"/>
    <w:rsid w:val="00C72E99"/>
    <w:rsid w:val="00C73A97"/>
    <w:rsid w:val="00C903FE"/>
    <w:rsid w:val="00CA051F"/>
    <w:rsid w:val="00CA35B1"/>
    <w:rsid w:val="00CA739D"/>
    <w:rsid w:val="00CC3719"/>
    <w:rsid w:val="00CC48EE"/>
    <w:rsid w:val="00CD6455"/>
    <w:rsid w:val="00CE12F5"/>
    <w:rsid w:val="00CF6A89"/>
    <w:rsid w:val="00D07229"/>
    <w:rsid w:val="00D103D3"/>
    <w:rsid w:val="00D12C31"/>
    <w:rsid w:val="00D14BAB"/>
    <w:rsid w:val="00D33C8A"/>
    <w:rsid w:val="00D40C4A"/>
    <w:rsid w:val="00D42797"/>
    <w:rsid w:val="00D4417F"/>
    <w:rsid w:val="00D45EB5"/>
    <w:rsid w:val="00D5727D"/>
    <w:rsid w:val="00D61638"/>
    <w:rsid w:val="00D62D4E"/>
    <w:rsid w:val="00D64F02"/>
    <w:rsid w:val="00D74517"/>
    <w:rsid w:val="00D75239"/>
    <w:rsid w:val="00D76605"/>
    <w:rsid w:val="00D80FFB"/>
    <w:rsid w:val="00D83848"/>
    <w:rsid w:val="00D8561B"/>
    <w:rsid w:val="00D9121C"/>
    <w:rsid w:val="00D97130"/>
    <w:rsid w:val="00DA4EAB"/>
    <w:rsid w:val="00DA6C42"/>
    <w:rsid w:val="00DA7436"/>
    <w:rsid w:val="00DB0798"/>
    <w:rsid w:val="00DB09D3"/>
    <w:rsid w:val="00DC4D22"/>
    <w:rsid w:val="00DD01EA"/>
    <w:rsid w:val="00DD0465"/>
    <w:rsid w:val="00DD4598"/>
    <w:rsid w:val="00DD612A"/>
    <w:rsid w:val="00DD651A"/>
    <w:rsid w:val="00DE02CB"/>
    <w:rsid w:val="00DE382F"/>
    <w:rsid w:val="00DF1BDD"/>
    <w:rsid w:val="00DF5405"/>
    <w:rsid w:val="00DF5461"/>
    <w:rsid w:val="00DF5EB3"/>
    <w:rsid w:val="00E23119"/>
    <w:rsid w:val="00E23C1A"/>
    <w:rsid w:val="00E419D8"/>
    <w:rsid w:val="00E44473"/>
    <w:rsid w:val="00E5058F"/>
    <w:rsid w:val="00E515EF"/>
    <w:rsid w:val="00E64006"/>
    <w:rsid w:val="00E70444"/>
    <w:rsid w:val="00E71BF4"/>
    <w:rsid w:val="00E73A55"/>
    <w:rsid w:val="00E75F1F"/>
    <w:rsid w:val="00E80006"/>
    <w:rsid w:val="00E809C0"/>
    <w:rsid w:val="00E80AA8"/>
    <w:rsid w:val="00E81CEF"/>
    <w:rsid w:val="00E8261F"/>
    <w:rsid w:val="00E83C59"/>
    <w:rsid w:val="00E900A5"/>
    <w:rsid w:val="00E9702C"/>
    <w:rsid w:val="00EA2346"/>
    <w:rsid w:val="00EA330E"/>
    <w:rsid w:val="00EB21B0"/>
    <w:rsid w:val="00EB3524"/>
    <w:rsid w:val="00EC0E1A"/>
    <w:rsid w:val="00EC4D54"/>
    <w:rsid w:val="00EC58A9"/>
    <w:rsid w:val="00EC62D4"/>
    <w:rsid w:val="00EC66D0"/>
    <w:rsid w:val="00ED1EEC"/>
    <w:rsid w:val="00ED424F"/>
    <w:rsid w:val="00ED7C8F"/>
    <w:rsid w:val="00EE28D0"/>
    <w:rsid w:val="00EE3C0C"/>
    <w:rsid w:val="00EE666F"/>
    <w:rsid w:val="00EF15B7"/>
    <w:rsid w:val="00EF2DB7"/>
    <w:rsid w:val="00EF3C4C"/>
    <w:rsid w:val="00EF4D6B"/>
    <w:rsid w:val="00EF5184"/>
    <w:rsid w:val="00F0493C"/>
    <w:rsid w:val="00F04BE8"/>
    <w:rsid w:val="00F059A8"/>
    <w:rsid w:val="00F06E7F"/>
    <w:rsid w:val="00F11FA3"/>
    <w:rsid w:val="00F1423C"/>
    <w:rsid w:val="00F27F18"/>
    <w:rsid w:val="00F35D5A"/>
    <w:rsid w:val="00F42248"/>
    <w:rsid w:val="00F44771"/>
    <w:rsid w:val="00F46C46"/>
    <w:rsid w:val="00F53E4C"/>
    <w:rsid w:val="00F5448D"/>
    <w:rsid w:val="00F552D6"/>
    <w:rsid w:val="00F57C13"/>
    <w:rsid w:val="00F724DD"/>
    <w:rsid w:val="00F76861"/>
    <w:rsid w:val="00F86ADF"/>
    <w:rsid w:val="00FB7D2F"/>
    <w:rsid w:val="00FC04C1"/>
    <w:rsid w:val="00FC07F2"/>
    <w:rsid w:val="00FC0FAF"/>
    <w:rsid w:val="00FC13B1"/>
    <w:rsid w:val="00FC6086"/>
    <w:rsid w:val="00FD17CD"/>
    <w:rsid w:val="00FD74BB"/>
    <w:rsid w:val="00FD7BAF"/>
    <w:rsid w:val="00FE688C"/>
    <w:rsid w:val="00FF3572"/>
    <w:rsid w:val="00FF67A8"/>
    <w:rsid w:val="00FF6DDE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78F9"/>
  <w15:docId w15:val="{746A0819-D63C-4AEE-9A2D-5C65572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CDC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78043B"/>
    <w:pPr>
      <w:spacing w:after="240"/>
      <w:jc w:val="both"/>
      <w:outlineLvl w:val="3"/>
    </w:pPr>
    <w:rPr>
      <w:rFonts w:ascii="Times New Roman" w:eastAsia="SimSun" w:hAnsi="Times New Roman" w:cs="Simplified Arabic"/>
      <w:sz w:val="2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A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DefaultParagraphFont"/>
    <w:uiPriority w:val="99"/>
    <w:unhideWhenUsed/>
    <w:rsid w:val="00366BD4"/>
    <w:rPr>
      <w:color w:val="0000FF" w:themeColor="hyperlink"/>
      <w:u w:val="single"/>
    </w:rPr>
  </w:style>
  <w:style w:type="paragraph" w:styleId="ListParagraph">
    <w:name w:val="List Paragraph"/>
    <w:aliases w:val="Listenabsatz1"/>
    <w:basedOn w:val="Normal"/>
    <w:uiPriority w:val="34"/>
    <w:qFormat/>
    <w:rsid w:val="009430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1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C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C91"/>
    <w:rPr>
      <w:rFonts w:ascii="Arial" w:eastAsia="Times New Roman" w:hAnsi="Arial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C91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7F75D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C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C44"/>
    <w:rPr>
      <w:rFonts w:ascii="Arial" w:eastAsia="Times New Roman" w:hAnsi="Arial" w:cs="Times New Roman"/>
      <w:szCs w:val="2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3F5C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C44"/>
    <w:rPr>
      <w:rFonts w:ascii="Arial" w:eastAsia="Times New Roman" w:hAnsi="Arial" w:cs="Times New Roman"/>
      <w:szCs w:val="20"/>
      <w:lang w:eastAsia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75DA9"/>
    <w:rPr>
      <w:color w:val="605E5C"/>
      <w:shd w:val="clear" w:color="auto" w:fill="E1DFDD"/>
    </w:rPr>
  </w:style>
  <w:style w:type="paragraph" w:customStyle="1" w:styleId="Einrckung2">
    <w:name w:val="Einrückung 2"/>
    <w:basedOn w:val="Normal"/>
    <w:rsid w:val="00970356"/>
    <w:pPr>
      <w:spacing w:line="360" w:lineRule="atLeast"/>
      <w:ind w:left="1701" w:hanging="851"/>
    </w:pPr>
    <w:rPr>
      <w:sz w:val="24"/>
    </w:rPr>
  </w:style>
  <w:style w:type="paragraph" w:styleId="Revision">
    <w:name w:val="Revision"/>
    <w:hidden/>
    <w:uiPriority w:val="99"/>
    <w:semiHidden/>
    <w:rsid w:val="00D7451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4D54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D5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78043B"/>
    <w:rPr>
      <w:rFonts w:ascii="Times New Roman" w:eastAsia="SimSun" w:hAnsi="Times New Roman" w:cs="Simplified Arabic"/>
      <w:sz w:val="20"/>
      <w:szCs w:val="20"/>
      <w:lang w:val="en-GB" w:eastAsia="en-GB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80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43B"/>
    <w:rPr>
      <w:rFonts w:ascii="Arial" w:eastAsia="Times New Roman" w:hAnsi="Arial" w:cs="Times New Roman"/>
      <w:szCs w:val="20"/>
      <w:lang w:eastAsia="de-DE"/>
    </w:rPr>
  </w:style>
  <w:style w:type="table" w:styleId="TableGrid">
    <w:name w:val="Table Grid"/>
    <w:basedOn w:val="TableNormal"/>
    <w:uiPriority w:val="59"/>
    <w:unhideWhenUsed/>
    <w:rsid w:val="0074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7422AF"/>
    <w:rPr>
      <w:color w:val="605E5C"/>
      <w:shd w:val="clear" w:color="auto" w:fill="E1DFDD"/>
    </w:rPr>
  </w:style>
  <w:style w:type="character" w:customStyle="1" w:styleId="TitelChar">
    <w:name w:val="Titel Char"/>
    <w:basedOn w:val="DefaultParagraphFont"/>
    <w:rsid w:val="00FC07F2"/>
    <w:rPr>
      <w:rFonts w:ascii="Arial" w:hAnsi="Arial" w:cs="Arial"/>
      <w:b/>
      <w:bCs/>
      <w:kern w:val="28"/>
      <w:sz w:val="32"/>
      <w:szCs w:val="32"/>
      <w:lang w:val="de-DE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w-entwicklungsbank.de/PDF/Download-Center/PDF-Dokumente-Richtlinien/Vergaberichtlinien-2019-Englisch-Internet_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ezana.popovic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na.s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webmail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AC83-08C4-4E27-A801-4F0A487B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1249</Words>
  <Characters>7925</Characters>
  <Application>Microsoft Office Word</Application>
  <DocSecurity>0</DocSecurity>
  <Lines>214</Lines>
  <Paragraphs>76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KfW Bankengruppe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Settelmaier</dc:creator>
  <cp:lastModifiedBy>Dijana</cp:lastModifiedBy>
  <cp:revision>15</cp:revision>
  <cp:lastPrinted>2019-06-24T07:24:00Z</cp:lastPrinted>
  <dcterms:created xsi:type="dcterms:W3CDTF">2020-09-03T19:44:00Z</dcterms:created>
  <dcterms:modified xsi:type="dcterms:W3CDTF">2020-09-04T09:09:00Z</dcterms:modified>
</cp:coreProperties>
</file>